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PORTFOLIO DIGEST — ALL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HSV2-DPD-2026-04-06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09:15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6 of 7 programme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HEADLINE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cross-entity portfolio digest could not be generated with Claude due to a temporary API issue. The per-entity priority lists were posted to each project individually. The MLRO is asked to review them directly.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ENTITIES COVERED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 FG BRANCH - COMPLIANCE PROGRAMME 2026: see per-entity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 MADISON LLC - COMPLIANCE PROGRAMME 2026: see per-entity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 GRAMALTIN AS - COMPLIANCE PROGRAMME 2026: see per-entity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 NAPLES LLC - COMPLIANCE PROGRAMME 2026: see per-entity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 ZOE FZE - COMPLIANCE PROGRAMME 2026: see per-entity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 FG LLC - COMPLIANCE PROGRAMME 2026: see per-entity report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