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REFRESH TRACKER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HSV2-CDD-2026-04-13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Register as of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reviewed the counterparty register today to identify Customer Due Diligence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records that are due for refresh. The refresh window applied per record is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twelve months for high-risk, twenty-four months for medium-risk and thirty-six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months for low-risk, unless the record carries an explicit next_cdd_due override.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Bucket      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         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Critical (0 to 7 days)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Warning (8 to 30 days)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Missing baseline CDD date  3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counterparties       3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(CDD already lapsed)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CRITICAL (due within seven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WARNING (due within thirty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RECORDS WITHOUT A BASELINE CDD DATE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                       Risk    Last CDD   Due by     Days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  ------  ---------  ---------  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VAT Compliance for Precious Metals  medium  (missing)  (unknown)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VAT for Precious Metals             medium  (missing)  (unknown)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VAT Precious Metals                 medium  (missing)  (unknown)  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record is currently overdue.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Every record in the critical and warning buckets must be scheduled for a refresh interview or desk review before its due date.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any record without a baseline CDD date, perform a file review and populate the last_cdd_date column before the next working day ends.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Retain all refreshed CDD documentation for the full ten-year retention period.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