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1214049679991812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HSV2-TPK-2026-04-13-UNASSIGNED-FFR_Tracker_—_All_En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1214049679991812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FFR Tracker — All Entities | April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1214049679991812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https://app.asana.com/1/1213645083721316/project/1214051378270801/task/1214049679991812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Track all Funds Freeze Report obligations across all 6 entities. Per UAE FDL No.10/2025, any confirmed TFS match triggering a freeze must be reported to the FIU immediately. Record: entity, customer/counterparty, freeze date, GOAML FFR reference, amount/asset frozen.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