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HSV2-TPK-2026-04-13-UNASSIGNED-RF-R16_Old_Gold_and_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RF-R16 | Old Gold and Inherited Gold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Inherited gold flags: no probate/succession documentation, volume disproportionate to wealth, dore bars claimed as heirloom, multiple unrelated individuals, recent refining marks, recent production hallmarks.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LLCInherited gold flags: no probate/succession documentation, volume disproportionate to wealth, dore bars claimed as heirloom, multiple unrelated individuals, recent refining marks, recent production hallmarks.Regulatory Basis: UAE FDL No.(10) of 2025 Art. 16; Cabinet Resolution 134/2025 Art. 9; FATF Guidance for DPMS (2020) Sec. 4.2Priority: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