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CASH TRANSACTION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HSV2-DCT-2026-04-14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2026-04-14,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All active compliance programmes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task in the Asana base that references cash activity (AED amounts, walk-in purchases, linked cash transactions) as of 2026-04-14. It is produced so that any item approaching the cash transaction threshold specified by the DPMSR framework can be reviewed by the MLRO before the day ends.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 OBSERVED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Tasks referencing cash activity:            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carrying a cash file today:      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TASK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13/04/2026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12/04/2026 | P&amp;L…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AED 55K Threshold Monitor — 0 breaches 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July 2026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August 2…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Septembe…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October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November…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December…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May 2…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June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July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Augus…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Septe…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MADISON LLC — MLRO Monthly Report | May…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MADISON LLC — MLRO Monthly Report | Jun…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GRAMALTIN AS — MLRO Monthly Report | Ma…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GRAMALTIN AS — MLRO Monthly Report |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NAPLES LLC — MLRO Monthly Report | May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NAPLES LLC — MLRO Monthly Report | June…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ZOE FZE — MLRO Monthly Report | May 2026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ZOE FZE — MLRO Monthly Report | June 20…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MLRO is asked to verify whether any of the cash files listed above meets the DPMSR filing trigger for the rolling 30-day window on a linked transaction basis. The automation does not make that determination; the MLRO does.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