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WEEKLY FILINGS SUMMARY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 2026-W15, ending 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HSV2-WFS-2026-W15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2026-04-10, 17:30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2026-04-04 to 2026-04-10 inclusive, 0 drafts produced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is the weekly filings summary for the Reporting Entity for the week of 2026-04-04 to 2026-04-10 (week 2026-W15).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FILINGS PRODUCED THIS WEEK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filing drafts were produced by the automation during the week. The absence of drafts does not indicate a control failure. The automation generates filing drafts only when the detector flags a transaction or activity as a candidate for reporting and the filing-mode configuration permits it to proceed. A quiet week may reflect normal business activity patterns, low-risk transactional volumes, or screening results that do not meet the threshold for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REVIEW POINTS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may use this quiet week as an opportunity to verify that the detector remains active across all six detection programmes and that filing-mode.json is correctly configured to reflect her current policy intent for each programme. A brief review of detector status and filing-mode settings helps ensure that control logic is functioning as designed and that no programmes have been inadvertently disabled. Confirm detector status and filing-mode alignment with policy intent across all six programmes.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