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DAILY REGULATORY UPDATE WATCH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HSV2-REG-2026-04-06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Monitoring day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SCOPE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We compared the current content hash of 4 regulator and standard-setter pages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against the most recent stored snapshot. Any change is reported below and the new snapshot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is committed to the audit archive. No natural-language analysis is performed by this job.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MLRO opens each changed URL to read the actual update.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CHANGED OR NEW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            Authority                            Status  URL                                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  -----------------------------------  ------  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— AML supervision pages    Ministry of Economy                  new     https://www.moec.gov.ae/en/anti-money-laundering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Executive Office for Control and Non-Prolife…  Executive Office for Control and N…  new     https://www.uaeiec.gov.ae/en-us/                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UNCHANGED SOURCES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(none)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FETCH ERRORS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                            Authority                    Error             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  ---------------------------  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Central Bank of the UAE — AML/CFT  Central Bank of the UAE      HTTP 403 Forbidden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FATF — News                        Financial Action Task Force  HTTP 403 Forbidden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NEXT ACTIONS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Open each changed URL listed above and read the updated page content.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introduces a new obligation, open a task in the compliance workspace with a clear owner and deadline.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If the change revises an existing obligation, update the relevant control, procedure or training material.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Investigate every fetch error. A persistent error indicates the source URL may have moved and the configuration must be updated.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