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CASH TRANSACTION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HSV2-DCT-2026-04-10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2026-04-10,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All active compliance programmes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task in the Asana base that references cash activity (AED amounts, walk-in purchases, linked cash transactions) as of 2026-04-10. It is produced so that any item approaching the cash transaction threshold specified by the DPMSR framework can be reviewed by the MLRO before the day ends.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 OBSERVED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Tasks referencing cash activity:            295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carrying a cash file today:      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TASK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MOE-01 | Cash Transaction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[Critical] MOE-03 | UBO Register and CR…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MOE-04 | DPMS Occasional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[Medium] MOE-12 | DPMS-Specific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🟢 R-01 | Quarterly goAML DPMS Activity…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🔴 MOE-08 | goAML DPMS Module Full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TRN-23 | DPMS Reporting and Regulatory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MOE-01 | Cash Transaction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[Critical] MOE-03 | UBO Register and CR…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MOE-04 | DPMS Occasional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[Medium] MOE-12 | DPMS-Specific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MOE-01 | Cash Transaction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[Critical] MOE-03 | UBO Register and CR…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MOE-04 | DPMS Occasional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[Medium] MOE-12 | DPMS-Specific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MOE-01 | Cash Transaction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[Critical] MOE-03 | UBO Register and CR…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MOE-04 | DPMS Occasional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[Medium] MOE-12 | DPMS-Specific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GAP-006 | Update Transaction Monitoring…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MOE-01 | Cash Transaction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[Critical] MOE-03 | UBO Register and CR…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MOE-04 | DPMS Occasional Transac…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[Medium] MOE-12 | DPMS-Specific Red Fla…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RF-R05 | Jewelry Scrap Aggregation With…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RF-R10 | Gold-for-Cash Schemes via Recy…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NRA-RF01 | NRA: High Cash Intensity Pat…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NRA-RF02 | NRA: Cross-Border Trade Expl…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NRA-RF05 | FIU Typology 2: Foreign Curr…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NRA-RF06 | FIU Typology 3: Gold/Cash Sm…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NRA-RF08 | NRA: DPMSR Threshold Structu…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RS-RF04 | Refinery: No Third-Party Audi…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RS-RF10 | MOE Inspection Preparedness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FIU-RF01 | DPMSR Filing Anomalies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FIU-RF02 | Gold Souk and Retail DPMS Re…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FIU-RF03 | Hawala and Informal Value Tr…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TM-01 | TM Rules and Scenarios Catalogue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TM-04 | Cash Transaction Reporting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TM-05 | TM System Tuning and Threshold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ACE-02 | Gifts, Hospitality, and Entert…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RF-M08 | Mine-to-Refinery Chain of Cust…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RF-M12 | Mined Gold Volume and Pricing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RF-R02 | Scrap Gold Laundering Through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CDD-02 | CDD SOP - Legal Persons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CDD-03 | Beneficial Ownership Identific…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CDD-05 | Enhanced Due Diligence Trigger…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RF-01 | DPMS Cash Transaction Red Flags…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RF-02 | Trade-Based Money Laundering (T…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RF-03 | Structuring and Smurfing Detect…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TFS-09 | Sanctions Screening Tool Valid…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RF-11 | Unusual Transaction Pattern Ale…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RF-12 | Third-Party Payment Red Flags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RA-03 | Customer Risk Scoring Model Cal…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AIG-02 | Human Oversight Protocol for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AIG-03 | Algorithmic Bias Monitoring fo…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ACEP-06 | IC-004: Gifts, Hospita…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ACEP-08 | IC-006: Transaction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ACEP-15 | CT-002: Advanced Trans…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[Medium] ACEP-21 | Gifts and Hospitalit…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PROC-01 | Cash Transaction Report (C…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PROC-03 | UBO Register and CRA Form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PROC-04 | DPMS Occasional Transactio…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🔵 PROC-12 | DPMS-Specific Red Flag Ind…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OEC-10 | Due Diligence Questionn…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OEC-28 | Integrity Hub: Gifts Mo…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GAP-006 | Update Transaction Monitoring…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🟢 R-01 | Quarterly goAML DPMS Activity…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C-01 | Deploy goAML DPMS Module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OPS-02 | Large Cash Transaction Repo…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🔵 OPS-41 | Master Regulatory Reporting…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MOE-01 | DPMS Registration and Annua…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MOE-05 | Administrative Penalties Fr…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MOE-08 | goAML DPMS Module Full Comp…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MOE-09 | MOE Circular and NAMLCFTC G…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TRN-17 | Cash-Free Policy and Virtual 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TRN-18 | UAE FIU DPMS Typologies (2025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TRN-23 | DPMS Reporting and Regulatory 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MLRO is asked to verify whether any of the cash files listed above meets the DPMSR filing trigger for the rolling 30-day window on a linked transaction basis. The automation does not make that determination; the MLRO does.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