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2026-04-10.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357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GAP-008 | Conduct Annual AML/CFT Traini…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MOE-08 | Staff Fitness and Propr…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RF-R06 | Industrial Scrap Gold Processi…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RF-R12 | Recycled Gold from Sanctioned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NRA-RF12 | NRA: Proliferation Financing…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RS-RF06 | Mined Gold Specific Sourcing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RS-RF07 | Recycled Gold Specific Sourci…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RS-RF08 | Intermediary and Aggregator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FIU-RF04 | Free Trade Zone DPMS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RK-05 | Regulatory Authority Informatio…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RF-M03 | LSM Legitimacy Verification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RF-M05 | Armed Group Financing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RF-R03 | Melting to Obscure Origin (Gol…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CDD-09 | KYS - Know Your Supplier Due 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TFS-02 | Asset Freeze Implementation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TFS-03 | Sanctions List Update Monitori…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TFS-05 | 5-Year Retrospective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TFS-06 | PNMR Filing Procedure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TFS-07 | CNMR Filing Procedure (formerl…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TFS-08 | EOCN Grievance and Delisting 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TFS-10 | Proliferation Financing TFS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RF-09 | Terrorism Financing Red Flags 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RF-10 | Proliferation Financing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RF-14 | Sanctions Evasion Red Flags Spe…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RA-05 | Geographic Risk Assessment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LBMA-02 | Step 2: Risk Identification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AIG-01 | AI/ML Tool Risk Assessment for…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HR-01 | Pre-Employment Screening for Co…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HR-07 | Disciplinary Framework for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REG-11 | NAMLCFTC High-Risk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ACEP-25 | 10-KPI Compliance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PROC-08 | Staff Fitness and Propriet…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OEC-14 | Sanctions Clause Li…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OEC-19 | Vessel Screening SO…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OEC-23 | Compliance Clause 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OEC-34 | Ongoing Screening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[Critical] OEC-42 | Annual Training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OEC-15 | Sanctions Clause Deploy…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OEC-17 | Transaction Monitoring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OEC-20 | Flag State Risk Matrix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OEC-18 | De-Risking &amp; Relation…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R-02 | Semi-Annual TFS Screening Lis…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M-02 | Regulatory Change Monitoring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C-03 | Proliferation Financing Risk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H-06 | TFS Sanctions List Update Pro…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🔍 Build CAHRA and Sanctions Source Ver…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OPS-32 | Proliferation Financing 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OPS-01 | Daily TFS/Sanctions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QA-04 | Sanctions Screening QA and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MOE-20 | UAE Country Embargo and Aut…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MOE-07 | TFS Comprehensive Programme…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MOE-09 | MOE Circular and NAMLCFTC G…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