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0"/>
      </w:pPr>
      <w:r>
        <w:rPr>
          <w:rFonts w:ascii="Courier New" w:hAnsi="Courier New" w:cs="Courier New"/>
          <w:sz w:val="20"/>
        </w:rPr>
        <w:t xml:space="preserve">=============================================================================</w:t>
      </w:r>
    </w:p>
    <w:p>
      <w:pPr>
        <w:spacing w:after="0"/>
      </w:pPr>
      <w:r>
        <w:rPr>
          <w:rFonts w:ascii="Courier New" w:hAnsi="Courier New" w:cs="Courier New"/>
          <w:sz w:val="20"/>
        </w:rPr>
        <w:t xml:space="preserve">THE REPORTING ENTITY</w:t>
      </w:r>
    </w:p>
    <w:p>
      <w:pPr>
        <w:spacing w:after="0"/>
      </w:pPr>
      <w:r>
        <w:rPr>
          <w:rFonts w:ascii="Courier New" w:hAnsi="Courier New" w:cs="Courier New"/>
          <w:sz w:val="20"/>
        </w:rPr>
        <w:t xml:space="preserve">DAILY COMPLIANCE REPORT</w:t>
      </w:r>
    </w:p>
    <w:p>
      <w:pPr>
        <w:spacing w:after="0"/>
      </w:pPr>
      <w:r>
        <w:rPr>
          <w:rFonts w:ascii="Courier New" w:hAnsi="Courier New" w:cs="Courier New"/>
          <w:sz w:val="20"/>
        </w:rPr>
        <w:t xml:space="preserve">FG BRANCH - COMPLIANCE PROGRAMME 2026</w:t>
      </w:r>
    </w:p>
    <w:p>
      <w:pPr>
        <w:spacing w:after="0"/>
      </w:pPr>
      <w:r>
        <w:rPr>
          <w:rFonts w:ascii="Courier New" w:hAnsi="Courier New" w:cs="Courier New"/>
          <w:sz w:val="20"/>
        </w:rPr>
        <w:t xml:space="preserve">=============================================================================</w:t>
      </w:r>
    </w:p>
    <w:p>
      <w:pPr>
        <w:spacing w:after="0"/>
      </w:pPr>
    </w:p>
    <w:p>
      <w:pPr>
        <w:spacing w:after="0"/>
      </w:pPr>
      <w:r>
        <w:rPr>
          <w:rFonts w:ascii="Courier New" w:hAnsi="Courier New" w:cs="Courier New"/>
          <w:sz w:val="20"/>
        </w:rPr>
        <w:t xml:space="preserve">Document reference:   HSV2-DER-2026-04-17-FG_BRANCH_-_COMPLIAN</w:t>
      </w:r>
    </w:p>
    <w:p>
      <w:pPr>
        <w:spacing w:after="0"/>
      </w:pPr>
      <w:r>
        <w:rPr>
          <w:rFonts w:ascii="Courier New" w:hAnsi="Courier New" w:cs="Courier New"/>
          <w:sz w:val="20"/>
        </w:rPr>
        <w:t xml:space="preserve">Classification:       Confidential. For MLRO review only.</w:t>
      </w:r>
    </w:p>
    <w:p>
      <w:pPr>
        <w:spacing w:after="0"/>
      </w:pPr>
      <w:r>
        <w:rPr>
          <w:rFonts w:ascii="Courier New" w:hAnsi="Courier New" w:cs="Courier New"/>
          <w:sz w:val="20"/>
        </w:rPr>
        <w:t xml:space="preserve">Version:              1.0</w:t>
      </w:r>
    </w:p>
    <w:p>
      <w:pPr>
        <w:spacing w:after="0"/>
      </w:pPr>
      <w:r>
        <w:rPr>
          <w:rFonts w:ascii="Courier New" w:hAnsi="Courier New" w:cs="Courier New"/>
          <w:sz w:val="20"/>
        </w:rPr>
        <w:t xml:space="preserve">Prepared by:          Compliance function, the Reporting Entity</w:t>
      </w:r>
    </w:p>
    <w:p>
      <w:pPr>
        <w:spacing w:after="0"/>
      </w:pPr>
      <w:r>
        <w:rPr>
          <w:rFonts w:ascii="Courier New" w:hAnsi="Courier New" w:cs="Courier New"/>
          <w:sz w:val="20"/>
        </w:rPr>
        <w:t xml:space="preserve">Prepared on:          2026-04-17</w:t>
      </w:r>
    </w:p>
    <w:p>
      <w:pPr>
        <w:spacing w:after="0"/>
      </w:pPr>
      <w:r>
        <w:rPr>
          <w:rFonts w:ascii="Courier New" w:hAnsi="Courier New" w:cs="Courier New"/>
          <w:sz w:val="20"/>
        </w:rPr>
        <w:t xml:space="preserve">Addressee:            LF, Money Laundering Reporting Officer (MLRO)</w:t>
      </w:r>
    </w:p>
    <w:p>
      <w:pPr>
        <w:spacing w:after="0"/>
      </w:pPr>
      <w:r>
        <w:rPr>
          <w:rFonts w:ascii="Courier New" w:hAnsi="Courier New" w:cs="Courier New"/>
          <w:sz w:val="20"/>
        </w:rPr>
        <w:t xml:space="preserve">Coverage:             Operational day ending 2026-04-17</w:t>
      </w:r>
    </w:p>
    <w:p>
      <w:pPr>
        <w:spacing w:after="0"/>
      </w:pPr>
      <w:r>
        <w:rPr>
          <w:rFonts w:ascii="Courier New" w:hAnsi="Courier New" w:cs="Courier New"/>
          <w:sz w:val="20"/>
        </w:rPr>
        <w:t xml:space="preserve">Retention period:     10 years, in accordance with the applicable provision</w:t>
      </w:r>
    </w:p>
    <w:p>
      <w:pPr>
        <w:spacing w:after="0"/>
      </w:pPr>
      <w:r>
        <w:rPr>
          <w:rFonts w:ascii="Courier New" w:hAnsi="Courier New" w:cs="Courier New"/>
          <w:sz w:val="20"/>
        </w:rPr>
        <w:t xml:space="preserve">                      of Federal Decree-Law No. 10 of 2025.</w:t>
      </w:r>
    </w:p>
    <w:p>
      <w:pPr>
        <w:spacing w:after="0"/>
      </w:pPr>
    </w:p>
    <w:p>
      <w:pPr>
        <w:spacing w:after="0"/>
      </w:pPr>
      <w:r>
        <w:rPr>
          <w:rFonts w:ascii="Courier New" w:hAnsi="Courier New" w:cs="Courier New"/>
          <w:sz w:val="20"/>
        </w:rPr>
        <w:t xml:space="preserve">ENTITY IDENTIFICATION</w:t>
      </w:r>
    </w:p>
    <w:p>
      <w:pPr>
        <w:spacing w:after="0"/>
      </w:pPr>
    </w:p>
    <w:p>
      <w:pPr>
        <w:spacing w:after="0"/>
      </w:pPr>
      <w:r>
        <w:rPr>
          <w:rFonts w:ascii="Courier New" w:hAnsi="Courier New" w:cs="Courier New"/>
          <w:sz w:val="20"/>
        </w:rPr>
        <w:t xml:space="preserve">Reporting entity: FG BRANCH - COMPLIANCE PROGRAMME 2026</w:t>
      </w:r>
    </w:p>
    <w:p>
      <w:pPr>
        <w:spacing w:after="0"/>
      </w:pPr>
      <w:r>
        <w:rPr>
          <w:rFonts w:ascii="Courier New" w:hAnsi="Courier New" w:cs="Courier New"/>
          <w:sz w:val="20"/>
        </w:rPr>
        <w:t xml:space="preserve">Sector: Dealer in Precious Metals and Stones (DPMS)</w:t>
      </w:r>
    </w:p>
    <w:p>
      <w:pPr>
        <w:spacing w:after="0"/>
      </w:pPr>
      <w:r>
        <w:rPr>
          <w:rFonts w:ascii="Courier New" w:hAnsi="Courier New" w:cs="Courier New"/>
          <w:sz w:val="20"/>
        </w:rPr>
        <w:t xml:space="preserve">Classification: Designated Non-Financial Business and Profession (DNFBP)</w:t>
      </w:r>
    </w:p>
    <w:p>
      <w:pPr>
        <w:spacing w:after="0"/>
      </w:pPr>
      <w:r>
        <w:rPr>
          <w:rFonts w:ascii="Courier New" w:hAnsi="Courier New" w:cs="Courier New"/>
          <w:sz w:val="20"/>
        </w:rPr>
        <w:t xml:space="preserve">Supervisor: Ministry of Economy (MOE)</w:t>
      </w:r>
    </w:p>
    <w:p>
      <w:pPr>
        <w:spacing w:after="0"/>
      </w:pPr>
    </w:p>
    <w:p>
      <w:pPr>
        <w:spacing w:after="0"/>
      </w:pPr>
      <w:r>
        <w:rPr>
          <w:rFonts w:ascii="Courier New" w:hAnsi="Courier New" w:cs="Courier New"/>
          <w:sz w:val="20"/>
        </w:rPr>
        <w:t xml:space="preserve">OPEN EXPOSURE SNAPSHOT</w:t>
      </w:r>
    </w:p>
    <w:p>
      <w:pPr>
        <w:spacing w:after="0"/>
      </w:pPr>
    </w:p>
    <w:p>
      <w:pPr>
        <w:spacing w:after="0"/>
      </w:pPr>
      <w:r>
        <w:rPr>
          <w:rFonts w:ascii="Courier New" w:hAnsi="Courier New" w:cs="Courier New"/>
          <w:sz w:val="20"/>
        </w:rPr>
        <w:t xml:space="preserve">Metric               Count</w:t>
      </w:r>
    </w:p>
    <w:p>
      <w:pPr>
        <w:spacing w:after="0"/>
      </w:pPr>
      <w:r>
        <w:rPr>
          <w:rFonts w:ascii="Courier New" w:hAnsi="Courier New" w:cs="Courier New"/>
          <w:sz w:val="20"/>
        </w:rPr>
        <w:t xml:space="preserve">-------------------  -----</w:t>
      </w:r>
    </w:p>
    <w:p>
      <w:pPr>
        <w:spacing w:after="0"/>
      </w:pPr>
      <w:r>
        <w:rPr>
          <w:rFonts w:ascii="Courier New" w:hAnsi="Courier New" w:cs="Courier New"/>
          <w:sz w:val="20"/>
        </w:rPr>
        <w:t xml:space="preserve">Open items           1    </w:t>
      </w:r>
    </w:p>
    <w:p>
      <w:pPr>
        <w:spacing w:after="0"/>
      </w:pPr>
      <w:r>
        <w:rPr>
          <w:rFonts w:ascii="Courier New" w:hAnsi="Courier New" w:cs="Courier New"/>
          <w:sz w:val="20"/>
        </w:rPr>
        <w:t xml:space="preserve">Overdue items        0    </w:t>
      </w:r>
    </w:p>
    <w:p>
      <w:pPr>
        <w:spacing w:after="0"/>
      </w:pPr>
      <w:r>
        <w:rPr>
          <w:rFonts w:ascii="Courier New" w:hAnsi="Courier New" w:cs="Courier New"/>
          <w:sz w:val="20"/>
        </w:rPr>
        <w:t xml:space="preserve">At-risk items (48h)  0    </w:t>
      </w:r>
    </w:p>
    <w:p>
      <w:pPr>
        <w:spacing w:after="0"/>
      </w:pPr>
      <w:r>
        <w:rPr>
          <w:rFonts w:ascii="Courier New" w:hAnsi="Courier New" w:cs="Courier New"/>
          <w:sz w:val="20"/>
        </w:rPr>
        <w:t xml:space="preserve">Closed in last 24h   0    </w:t>
      </w:r>
    </w:p>
    <w:p>
      <w:pPr>
        <w:spacing w:after="0"/>
      </w:pPr>
      <w:r>
        <w:rPr>
          <w:rFonts w:ascii="Courier New" w:hAnsi="Courier New" w:cs="Courier New"/>
          <w:sz w:val="20"/>
        </w:rPr>
        <w:t xml:space="preserve">New in last 24h      0    </w:t>
      </w:r>
    </w:p>
    <w:p>
      <w:pPr>
        <w:spacing w:after="0"/>
      </w:pPr>
    </w:p>
    <w:p>
      <w:pPr>
        <w:spacing w:after="0"/>
      </w:pPr>
      <w:r>
        <w:rPr>
          <w:rFonts w:ascii="Courier New" w:hAnsi="Courier New" w:cs="Courier New"/>
          <w:sz w:val="20"/>
        </w:rPr>
        <w:t xml:space="preserve">TYPOLOGY DISTRIBUTION TODAY</w:t>
      </w:r>
    </w:p>
    <w:p>
      <w:pPr>
        <w:spacing w:after="0"/>
      </w:pPr>
    </w:p>
    <w:p>
      <w:pPr>
        <w:spacing w:after="0"/>
      </w:pPr>
      <w:r>
        <w:rPr>
          <w:rFonts w:ascii="Courier New" w:hAnsi="Courier New" w:cs="Courier New"/>
          <w:sz w:val="20"/>
        </w:rPr>
        <w:t xml:space="preserve">Typology              Tasks</w:t>
      </w:r>
    </w:p>
    <w:p>
      <w:pPr>
        <w:spacing w:after="0"/>
      </w:pPr>
      <w:r>
        <w:rPr>
          <w:rFonts w:ascii="Courier New" w:hAnsi="Courier New" w:cs="Courier New"/>
          <w:sz w:val="20"/>
        </w:rPr>
        <w:t xml:space="preserve">--------------------  -----</w:t>
      </w:r>
    </w:p>
    <w:p>
      <w:pPr>
        <w:spacing w:after="0"/>
      </w:pPr>
      <w:r>
        <w:rPr>
          <w:rFonts w:ascii="Courier New" w:hAnsi="Courier New" w:cs="Courier New"/>
          <w:sz w:val="20"/>
        </w:rPr>
        <w:t xml:space="preserve">crossBorder           96   </w:t>
      </w:r>
    </w:p>
    <w:p>
      <w:pPr>
        <w:spacing w:after="0"/>
      </w:pPr>
      <w:r>
        <w:rPr>
          <w:rFonts w:ascii="Courier New" w:hAnsi="Courier New" w:cs="Courier New"/>
          <w:sz w:val="20"/>
        </w:rPr>
        <w:t xml:space="preserve">sanctions             61   </w:t>
      </w:r>
    </w:p>
    <w:p>
      <w:pPr>
        <w:spacing w:after="0"/>
      </w:pPr>
      <w:r>
        <w:rPr>
          <w:rFonts w:ascii="Courier New" w:hAnsi="Courier New" w:cs="Courier New"/>
          <w:sz w:val="20"/>
        </w:rPr>
        <w:t xml:space="preserve">training              44   </w:t>
      </w:r>
    </w:p>
    <w:p>
      <w:pPr>
        <w:spacing w:after="0"/>
      </w:pPr>
      <w:r>
        <w:rPr>
          <w:rFonts w:ascii="Courier New" w:hAnsi="Courier New" w:cs="Courier New"/>
          <w:sz w:val="20"/>
        </w:rPr>
        <w:t xml:space="preserve">dpmsrTrigger          33   </w:t>
      </w:r>
    </w:p>
    <w:p>
      <w:pPr>
        <w:spacing w:after="0"/>
      </w:pPr>
      <w:r>
        <w:rPr>
          <w:rFonts w:ascii="Courier New" w:hAnsi="Courier New" w:cs="Courier New"/>
          <w:sz w:val="20"/>
        </w:rPr>
        <w:t xml:space="preserve">cash                  32   </w:t>
      </w:r>
    </w:p>
    <w:p>
      <w:pPr>
        <w:spacing w:after="0"/>
      </w:pPr>
      <w:r>
        <w:rPr>
          <w:rFonts w:ascii="Courier New" w:hAnsi="Courier New" w:cs="Courier New"/>
          <w:sz w:val="20"/>
        </w:rPr>
        <w:t xml:space="preserve">escalation            24   </w:t>
      </w:r>
    </w:p>
    <w:p>
      <w:pPr>
        <w:spacing w:after="0"/>
      </w:pPr>
      <w:r>
        <w:rPr>
          <w:rFonts w:ascii="Courier New" w:hAnsi="Courier New" w:cs="Courier New"/>
          <w:sz w:val="20"/>
        </w:rPr>
        <w:t xml:space="preserve">recycledGold          23   </w:t>
      </w:r>
    </w:p>
    <w:p>
      <w:pPr>
        <w:spacing w:after="0"/>
      </w:pPr>
      <w:r>
        <w:rPr>
          <w:rFonts w:ascii="Courier New" w:hAnsi="Courier New" w:cs="Courier New"/>
          <w:sz w:val="20"/>
        </w:rPr>
        <w:t xml:space="preserve">thirdParty            19   </w:t>
      </w:r>
    </w:p>
    <w:p>
      <w:pPr>
        <w:spacing w:after="0"/>
      </w:pPr>
      <w:r>
        <w:rPr>
          <w:rFonts w:ascii="Courier New" w:hAnsi="Courier New" w:cs="Courier New"/>
          <w:sz w:val="20"/>
        </w:rPr>
        <w:t xml:space="preserve">highRiskJurisdiction  10   </w:t>
      </w:r>
    </w:p>
    <w:p>
      <w:pPr>
        <w:spacing w:after="0"/>
      </w:pPr>
      <w:r>
        <w:rPr>
          <w:rFonts w:ascii="Courier New" w:hAnsi="Courier New" w:cs="Courier New"/>
          <w:sz w:val="20"/>
        </w:rPr>
        <w:t xml:space="preserve">pep                   9    </w:t>
      </w:r>
    </w:p>
    <w:p>
      <w:pPr>
        <w:spacing w:after="0"/>
      </w:pPr>
      <w:r>
        <w:rPr>
          <w:rFonts w:ascii="Courier New" w:hAnsi="Courier New" w:cs="Courier New"/>
          <w:sz w:val="20"/>
        </w:rPr>
        <w:t xml:space="preserve">cddGap                8    </w:t>
      </w:r>
    </w:p>
    <w:p>
      <w:pPr>
        <w:spacing w:after="0"/>
      </w:pPr>
      <w:r>
        <w:rPr>
          <w:rFonts w:ascii="Courier New" w:hAnsi="Courier New" w:cs="Courier New"/>
          <w:sz w:val="20"/>
        </w:rPr>
        <w:t xml:space="preserve">unusualPattern        5    </w:t>
      </w:r>
    </w:p>
    <w:p>
      <w:pPr>
        <w:spacing w:after="0"/>
      </w:pPr>
      <w:r>
        <w:rPr>
          <w:rFonts w:ascii="Courier New" w:hAnsi="Courier New" w:cs="Courier New"/>
          <w:sz w:val="20"/>
        </w:rPr>
        <w:t xml:space="preserve">stalled               1    </w:t>
      </w:r>
    </w:p>
    <w:p>
      <w:pPr>
        <w:spacing w:after="0"/>
      </w:pPr>
      <w:r>
        <w:rPr>
          <w:rFonts w:ascii="Courier New" w:hAnsi="Courier New" w:cs="Courier New"/>
          <w:sz w:val="20"/>
        </w:rPr>
        <w:t xml:space="preserve">preciousStones        1    </w:t>
      </w:r>
    </w:p>
    <w:p>
      <w:pPr>
        <w:spacing w:after="0"/>
      </w:pPr>
    </w:p>
    <w:p>
      <w:pPr>
        <w:spacing w:after="0"/>
      </w:pPr>
      <w:r>
        <w:rPr>
          <w:rFonts w:ascii="Courier New" w:hAnsi="Courier New" w:cs="Courier New"/>
          <w:sz w:val="20"/>
        </w:rPr>
        <w:t xml:space="preserve">OVERDUE ITEMS REQUIRING ATTENTION</w:t>
      </w:r>
    </w:p>
    <w:p>
      <w:pPr>
        <w:spacing w:after="0"/>
      </w:pPr>
    </w:p>
    <w:p>
      <w:pPr>
        <w:spacing w:after="0"/>
      </w:pPr>
      <w:r>
        <w:rPr>
          <w:rFonts w:ascii="Courier New" w:hAnsi="Courier New" w:cs="Courier New"/>
          <w:sz w:val="20"/>
        </w:rPr>
        <w:t xml:space="preserve">(no overdue items)</w:t>
      </w:r>
    </w:p>
    <w:p>
      <w:pPr>
        <w:spacing w:after="0"/>
      </w:pPr>
    </w:p>
    <w:p>
      <w:pPr>
        <w:spacing w:after="0"/>
      </w:pPr>
      <w:r>
        <w:rPr>
          <w:rFonts w:ascii="Courier New" w:hAnsi="Courier New" w:cs="Courier New"/>
          <w:sz w:val="20"/>
        </w:rPr>
        <w:t xml:space="preserve">RED-FLAG ITEMS RAISED OR OPEN</w:t>
      </w:r>
    </w:p>
    <w:p>
      <w:pPr>
        <w:spacing w:after="0"/>
      </w:pPr>
    </w:p>
    <w:p>
      <w:pPr>
        <w:spacing w:after="0"/>
      </w:pPr>
      <w:r>
        <w:rPr>
          <w:rFonts w:ascii="Courier New" w:hAnsi="Courier New" w:cs="Courier New"/>
          <w:sz w:val="20"/>
        </w:rPr>
        <w:t xml:space="preserve">(no red-flag tags matched today)</w:t>
      </w:r>
    </w:p>
    <w:p>
      <w:pPr>
        <w:spacing w:after="0"/>
      </w:pPr>
    </w:p>
    <w:p>
      <w:pPr>
        <w:spacing w:after="0"/>
      </w:pPr>
      <w:r>
        <w:rPr>
          <w:rFonts w:ascii="Courier New" w:hAnsi="Courier New" w:cs="Courier New"/>
          <w:sz w:val="20"/>
        </w:rPr>
        <w:t xml:space="preserve">ANALYTICAL COMMENTARY</w:t>
      </w:r>
    </w:p>
    <w:p>
      <w:pPr>
        <w:spacing w:after="0"/>
      </w:pPr>
    </w:p>
    <w:p>
      <w:pPr>
        <w:spacing w:after="0"/>
      </w:pPr>
      <w:r>
        <w:rPr>
          <w:rFonts w:ascii="Courier New" w:hAnsi="Courier New" w:cs="Courier New"/>
          <w:sz w:val="20"/>
        </w:rPr>
        <w:t xml:space="preserve">FG BRANCH COMPLIANCE PROGRAMME 2026</w:t>
      </w:r>
    </w:p>
    <w:p>
      <w:pPr>
        <w:spacing w:after="0"/>
      </w:pPr>
    </w:p>
    <w:p>
      <w:pPr>
        <w:spacing w:after="0"/>
      </w:pPr>
      <w:r>
        <w:rPr>
          <w:rFonts w:ascii="Courier New" w:hAnsi="Courier New" w:cs="Courier New"/>
          <w:sz w:val="20"/>
        </w:rPr>
        <w:t xml:space="preserve">DAILY COMPLIANCE REPORT</w:t>
      </w:r>
    </w:p>
    <w:p>
      <w:pPr>
        <w:spacing w:after="0"/>
      </w:pPr>
    </w:p>
    <w:p>
      <w:pPr>
        <w:spacing w:after="0"/>
      </w:pPr>
      <w:r>
        <w:rPr>
          <w:rFonts w:ascii="Courier New" w:hAnsi="Courier New" w:cs="Courier New"/>
          <w:sz w:val="20"/>
        </w:rPr>
        <w:t xml:space="preserve">17 APRIL 2026</w:t>
      </w:r>
    </w:p>
    <w:p>
      <w:pPr>
        <w:spacing w:after="0"/>
      </w:pPr>
    </w:p>
    <w:p>
      <w:pPr>
        <w:spacing w:after="0"/>
      </w:pPr>
      <w:r>
        <w:rPr>
          <w:rFonts w:ascii="Courier New" w:hAnsi="Courier New" w:cs="Courier New"/>
          <w:sz w:val="20"/>
        </w:rPr>
        <w:t xml:space="preserve">STATE OF THE BOOK</w:t>
      </w:r>
    </w:p>
    <w:p>
      <w:pPr>
        <w:spacing w:after="0"/>
      </w:pPr>
    </w:p>
    <w:p>
      <w:pPr>
        <w:spacing w:after="0"/>
      </w:pPr>
      <w:r>
        <w:rPr>
          <w:rFonts w:ascii="Courier New" w:hAnsi="Courier New" w:cs="Courier New"/>
          <w:sz w:val="20"/>
        </w:rPr>
        <w:t xml:space="preserve">The compliance book for FG Branch stands at one open item with zero overdue items as of today. No items are due within the next 48 hours, and no new items were raised in the last 24 hours.</w:t>
      </w:r>
    </w:p>
    <w:p>
      <w:pPr>
        <w:spacing w:after="0"/>
      </w:pPr>
    </w:p>
    <w:p>
      <w:pPr>
        <w:spacing w:after="0"/>
      </w:pPr>
      <w:r>
        <w:rPr>
          <w:rFonts w:ascii="Courier New" w:hAnsi="Courier New" w:cs="Courier New"/>
          <w:sz w:val="20"/>
        </w:rPr>
        <w:t xml:space="preserve">TYPOLOGY ANALYSIS</w:t>
      </w:r>
    </w:p>
    <w:p>
      <w:pPr>
        <w:spacing w:after="0"/>
      </w:pPr>
    </w:p>
    <w:p>
      <w:pPr>
        <w:spacing w:after="0"/>
      </w:pPr>
      <w:r>
        <w:rPr>
          <w:rFonts w:ascii="Courier New" w:hAnsi="Courier New" w:cs="Courier New"/>
          <w:sz w:val="20"/>
        </w:rPr>
        <w:t xml:space="preserve">We have identified 254 typology matches across the compliance programme today, with red-flag items present in the current book. The highest-volume typologies are cross-border transactions at 96 matches, followed by sanctions screening at 61 matches and training compliance at 44 matches. The MLRO should note the material volumes in cross-border activity and sanctions matches, as these require verification that the underlying transactions fall within our risk appetite and that screening controls are performing as designed. DPMSR triggers at 33 matches and recycled gold typology at 23 matches reflect the nature of our Dealer in Precious Metals and Stones operations and warrant routine review of compliance with the applicable provision of Federal Decree-Law No. 10 of 2025. Elevated volumes in training compliance at 44 matches and escalation flags at 24 matches indicate that supervisory attention to staff competency and case handling protocols remains necessary.</w:t>
      </w:r>
    </w:p>
    <w:p>
      <w:pPr>
        <w:spacing w:after="0"/>
      </w:pPr>
    </w:p>
    <w:p>
      <w:pPr>
        <w:spacing w:after="0"/>
      </w:pPr>
      <w:r>
        <w:rPr>
          <w:rFonts w:ascii="Courier New" w:hAnsi="Courier New" w:cs="Courier New"/>
          <w:sz w:val="20"/>
        </w:rPr>
        <w:t xml:space="preserve">NEXT ACTIONS</w:t>
      </w:r>
    </w:p>
    <w:p>
      <w:pPr>
        <w:spacing w:after="0"/>
      </w:pPr>
    </w:p>
    <w:p>
      <w:pPr>
        <w:spacing w:after="0"/>
      </w:pPr>
      <w:r>
        <w:rPr>
          <w:rFonts w:ascii="Courier New" w:hAnsi="Courier New" w:cs="Courier New"/>
          <w:sz w:val="20"/>
        </w:rPr>
        <w:t xml:space="preserve">Review the one open item for impediments to closure. Initiate formal review of all cross-border transaction matches with the applicable operational teams. Verify that all sanctions screening matches have been cleared against current watchlists and that no further action is required. Escalate the red-flag items to the MLRO for determination of next steps.</w:t>
      </w:r>
    </w:p>
    <w:p>
      <w:pPr>
        <w:spacing w:after="0"/>
      </w:pPr>
    </w:p>
    <w:p>
      <w:pPr>
        <w:spacing w:after="0"/>
      </w:pPr>
      <w:r>
        <w:rPr>
          <w:rFonts w:ascii="Courier New" w:hAnsi="Courier New" w:cs="Courier New"/>
          <w:sz w:val="20"/>
        </w:rPr>
        <w:t xml:space="preserve">For review by the MLRO, LF.</w:t>
      </w:r>
    </w:p>
    <w:p>
      <w:pPr>
        <w:spacing w:after="0"/>
      </w:pPr>
    </w:p>
    <w:p>
      <w:pPr>
        <w:spacing w:after="0"/>
      </w:pPr>
      <w:r>
        <w:rPr>
          <w:rFonts w:ascii="Courier New" w:hAnsi="Courier New" w:cs="Courier New"/>
          <w:sz w:val="20"/>
        </w:rPr>
        <w:t xml:space="preserve">ITEMS REQUIRING MLRO DECISION BEFORE END OF DAY</w:t>
      </w:r>
    </w:p>
    <w:p>
      <w:pPr>
        <w:spacing w:after="0"/>
      </w:pPr>
    </w:p>
    <w:p>
      <w:pPr>
        <w:spacing w:after="0"/>
      </w:pPr>
      <w:r>
        <w:rPr>
          <w:rFonts w:ascii="Courier New" w:hAnsi="Courier New" w:cs="Courier New"/>
          <w:sz w:val="20"/>
        </w:rPr>
        <w:t xml:space="preserve">One or more items above are flagged for MLRO attention. The MLRO is asked to review the red-flag table and the overdue table and to direct the compliance function accordingly.</w:t>
      </w:r>
    </w:p>
    <w:p>
      <w:pPr>
        <w:spacing w:after="0"/>
      </w:pPr>
    </w:p>
    <w:p>
      <w:pPr>
        <w:spacing w:after="0"/>
      </w:pPr>
      <w:r>
        <w:rPr>
          <w:rFonts w:ascii="Courier New" w:hAnsi="Courier New" w:cs="Courier New"/>
          <w:sz w:val="20"/>
        </w:rPr>
        <w:t xml:space="preserve">-----------------------------------------------------------------------------</w:t>
      </w:r>
    </w:p>
    <w:p>
      <w:pPr>
        <w:spacing w:after="0"/>
      </w:pPr>
      <w:r>
        <w:rPr>
          <w:rFonts w:ascii="Courier New" w:hAnsi="Courier New" w:cs="Courier New"/>
          <w:sz w:val="20"/>
        </w:rPr>
        <w:t xml:space="preserve">DOCUMENT SIGN-OFF</w:t>
      </w:r>
    </w:p>
    <w:p>
      <w:pPr>
        <w:spacing w:after="0"/>
      </w:pPr>
      <w:r>
        <w:rPr>
          <w:rFonts w:ascii="Courier New" w:hAnsi="Courier New" w:cs="Courier New"/>
          <w:sz w:val="20"/>
        </w:rPr>
        <w:t xml:space="preserve">-----------------------------------------------------------------------------</w:t>
      </w:r>
    </w:p>
    <w:p>
      <w:pPr>
        <w:spacing w:after="0"/>
      </w:pPr>
    </w:p>
    <w:p>
      <w:pPr>
        <w:spacing w:after="0"/>
      </w:pPr>
      <w:r>
        <w:rPr>
          <w:rFonts w:ascii="Courier New" w:hAnsi="Courier New" w:cs="Courier New"/>
          <w:sz w:val="20"/>
        </w:rPr>
        <w:t xml:space="preserve">Prepared by:   Compliance function, the Reporting Entity</w:t>
      </w:r>
    </w:p>
    <w:p>
      <w:pPr>
        <w:spacing w:after="0"/>
      </w:pPr>
      <w:r>
        <w:rPr>
          <w:rFonts w:ascii="Courier New" w:hAnsi="Courier New" w:cs="Courier New"/>
          <w:sz w:val="20"/>
        </w:rPr>
        <w:t xml:space="preserve">Reviewed by:   [awaiting MLRO review]</w:t>
      </w:r>
    </w:p>
    <w:p>
      <w:pPr>
        <w:spacing w:after="0"/>
      </w:pPr>
      <w:r>
        <w:rPr>
          <w:rFonts w:ascii="Courier New" w:hAnsi="Courier New" w:cs="Courier New"/>
          <w:sz w:val="20"/>
        </w:rPr>
        <w:t xml:space="preserve">Approved by:   [awaiting MLRO approval]</w:t>
      </w:r>
    </w:p>
    <w:p>
      <w:pPr>
        <w:spacing w:after="0"/>
      </w:pPr>
    </w:p>
    <w:p>
      <w:pPr>
        <w:spacing w:after="0"/>
      </w:pPr>
      <w:r>
        <w:rPr>
          <w:rFonts w:ascii="Courier New" w:hAnsi="Courier New" w:cs="Courier New"/>
          <w:sz w:val="20"/>
        </w:rPr>
        <w:t xml:space="preserve">For review by the MLRO, LF.</w:t>
      </w:r>
    </w:p>
    <w:p>
      <w:pPr>
        <w:spacing w:after="0"/>
      </w:pPr>
    </w:p>
    <w:p>
      <w:pPr>
        <w:spacing w:after="0"/>
      </w:pPr>
      <w:r>
        <w:rPr>
          <w:rFonts w:ascii="Courier New" w:hAnsi="Courier New" w:cs="Courier New"/>
          <w:sz w:val="20"/>
        </w:rPr>
        <w:t xml:space="preserve">[End of document]</w:t>
      </w:r>
    </w:p>
    <w:sectPr>
      <w:pgSz w:w="12240" w:h="15840"/>
      <w:pgMar w:top="1080" w:right="1080" w:bottom="1080" w:left="1080" w:header="720" w:footer="720" w:gutter="0"/>
    </w:sectPr>
  </w:body>
</w:document>
</file>