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FG LLC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HSV2-DER-2026-04-17-FG_LLC_-_COMPLIANCE_</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2026-04-17</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2026-04-17</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FG LLC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0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101  </w:t>
      </w:r>
    </w:p>
    <w:p>
      <w:pPr>
        <w:spacing w:after="0"/>
      </w:pPr>
      <w:r>
        <w:rPr>
          <w:rFonts w:ascii="Courier New" w:hAnsi="Courier New" w:cs="Courier New"/>
          <w:sz w:val="20"/>
        </w:rPr>
        <w:t xml:space="preserve">training              68   </w:t>
      </w:r>
    </w:p>
    <w:p>
      <w:pPr>
        <w:spacing w:after="0"/>
      </w:pPr>
      <w:r>
        <w:rPr>
          <w:rFonts w:ascii="Courier New" w:hAnsi="Courier New" w:cs="Courier New"/>
          <w:sz w:val="20"/>
        </w:rPr>
        <w:t xml:space="preserve">sanctions             62   </w:t>
      </w:r>
    </w:p>
    <w:p>
      <w:pPr>
        <w:spacing w:after="0"/>
      </w:pPr>
      <w:r>
        <w:rPr>
          <w:rFonts w:ascii="Courier New" w:hAnsi="Courier New" w:cs="Courier New"/>
          <w:sz w:val="20"/>
        </w:rPr>
        <w:t xml:space="preserve">cash                  38   </w:t>
      </w:r>
    </w:p>
    <w:p>
      <w:pPr>
        <w:spacing w:after="0"/>
      </w:pPr>
      <w:r>
        <w:rPr>
          <w:rFonts w:ascii="Courier New" w:hAnsi="Courier New" w:cs="Courier New"/>
          <w:sz w:val="20"/>
        </w:rPr>
        <w:t xml:space="preserve">dpmsrTrigger          38   </w:t>
      </w:r>
    </w:p>
    <w:p>
      <w:pPr>
        <w:spacing w:after="0"/>
      </w:pPr>
      <w:r>
        <w:rPr>
          <w:rFonts w:ascii="Courier New" w:hAnsi="Courier New" w:cs="Courier New"/>
          <w:sz w:val="20"/>
        </w:rPr>
        <w:t xml:space="preserve">escalation            28   </w:t>
      </w:r>
    </w:p>
    <w:p>
      <w:pPr>
        <w:spacing w:after="0"/>
      </w:pPr>
      <w:r>
        <w:rPr>
          <w:rFonts w:ascii="Courier New" w:hAnsi="Courier New" w:cs="Courier New"/>
          <w:sz w:val="20"/>
        </w:rPr>
        <w:t xml:space="preserve">thirdParty            27   </w:t>
      </w:r>
    </w:p>
    <w:p>
      <w:pPr>
        <w:spacing w:after="0"/>
      </w:pPr>
      <w:r>
        <w:rPr>
          <w:rFonts w:ascii="Courier New" w:hAnsi="Courier New" w:cs="Courier New"/>
          <w:sz w:val="20"/>
        </w:rPr>
        <w:t xml:space="preserve">recycledGold          23   </w:t>
      </w:r>
    </w:p>
    <w:p>
      <w:pPr>
        <w:spacing w:after="0"/>
      </w:pPr>
      <w:r>
        <w:rPr>
          <w:rFonts w:ascii="Courier New" w:hAnsi="Courier New" w:cs="Courier New"/>
          <w:sz w:val="20"/>
        </w:rPr>
        <w:t xml:space="preserve">pep                   12   </w:t>
      </w:r>
    </w:p>
    <w:p>
      <w:pPr>
        <w:spacing w:after="0"/>
      </w:pPr>
      <w:r>
        <w:rPr>
          <w:rFonts w:ascii="Courier New" w:hAnsi="Courier New" w:cs="Courier New"/>
          <w:sz w:val="20"/>
        </w:rPr>
        <w:t xml:space="preserve">cddGap                10   </w:t>
      </w:r>
    </w:p>
    <w:p>
      <w:pPr>
        <w:spacing w:after="0"/>
      </w:pPr>
      <w:r>
        <w:rPr>
          <w:rFonts w:ascii="Courier New" w:hAnsi="Courier New" w:cs="Courier New"/>
          <w:sz w:val="20"/>
        </w:rPr>
        <w:t xml:space="preserve">highRiskJurisdiction  9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2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(no red-flag tags matched today)</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 FG LLC</w:t>
      </w:r>
    </w:p>
    <w:p>
      <w:pPr>
        <w:spacing w:after="0"/>
      </w:pPr>
      <w:r>
        <w:rPr>
          <w:rFonts w:ascii="Courier New" w:hAnsi="Courier New" w:cs="Courier New"/>
          <w:sz w:val="20"/>
        </w:rPr>
        <w:t xml:space="preserve">17 APRIL 2026</w:t>
      </w:r>
    </w:p>
    <w:p>
      <w:pPr>
        <w:spacing w:after="0"/>
      </w:pPr>
    </w:p>
    <w:p>
      <w:pPr>
        <w:spacing w:after="0"/>
      </w:pPr>
      <w:r>
        <w:rPr>
          <w:rFonts w:ascii="Courier New" w:hAnsi="Courier New" w:cs="Courier New"/>
          <w:sz w:val="20"/>
        </w:rPr>
        <w:t xml:space="preserve">OPERATIONAL STATUS</w:t>
      </w:r>
    </w:p>
    <w:p>
      <w:pPr>
        <w:spacing w:after="0"/>
      </w:pPr>
    </w:p>
    <w:p>
      <w:pPr>
        <w:spacing w:after="0"/>
      </w:pPr>
      <w:r>
        <w:rPr>
          <w:rFonts w:ascii="Courier New" w:hAnsi="Courier New" w:cs="Courier New"/>
          <w:sz w:val="20"/>
        </w:rPr>
        <w:t xml:space="preserve">Our compliance workload stands clear of escalation risk today. We hold zero open items, zero overdue items, and zero items approaching the 48-hour threshold. No new items were raised in the last 24 hours and no items were completed in that period, indicating a stable operational baseline with no active fire-fighting required.</w:t>
      </w:r>
    </w:p>
    <w:p>
      <w:pPr>
        <w:spacing w:after="0"/>
      </w:pPr>
    </w:p>
    <w:p>
      <w:pPr>
        <w:spacing w:after="0"/>
      </w:pPr>
      <w:r>
        <w:rPr>
          <w:rFonts w:ascii="Courier New" w:hAnsi="Courier New" w:cs="Courier New"/>
          <w:sz w:val="20"/>
        </w:rPr>
        <w:t xml:space="preserve">TYPOLOGY ALERTS REQUIRING MLRO ATTENTION</w:t>
      </w:r>
    </w:p>
    <w:p>
      <w:pPr>
        <w:spacing w:after="0"/>
      </w:pPr>
    </w:p>
    <w:p>
      <w:pPr>
        <w:spacing w:after="0"/>
      </w:pPr>
      <w:r>
        <w:rPr>
          <w:rFonts w:ascii="Courier New" w:hAnsi="Courier New" w:cs="Courier New"/>
          <w:sz w:val="20"/>
        </w:rPr>
        <w:t xml:space="preserve">Today's screening has generated 236 typology matches across our customer base and transaction flow. The volume and distribution warrant direct MLRO review. Cross-border transaction typologies account for 101 matches, the largest single category, reflecting the international exposure inherent in our client portfolio. Sanctions screening has returned 62 matches, including 12 PEP flags, which require immediate verification against the UN Security Council Consolidated List and the UAE Local Terrorist List to confirm no exposure to targeted financial sanctions obligations under the applicable targeted financial sanctions framework. Cash transaction typologies have triggered 38 matches, likely corresponding to Dealers in Precious Metals and Stones Report thresholds. A further 38 matches have arisen on DPMSR-specific triggers. Training-related typologies account for 68 matches, suggesting gaps in staff capability or documentation completeness that must be addressed to sustain our compliance posture. The presence of red-flag items in the system indicates at least one transaction or customer profile has been marked for heightened scrutiny. Evaluate each sanctions and PEP match within one business day.</w:t>
      </w:r>
    </w:p>
    <w:p>
      <w:pPr>
        <w:spacing w:after="0"/>
      </w:pPr>
    </w:p>
    <w:p>
      <w:pPr>
        <w:spacing w:after="0"/>
      </w:pPr>
      <w:r>
        <w:rPr>
          <w:rFonts w:ascii="Courier New" w:hAnsi="Courier New" w:cs="Courier New"/>
          <w:sz w:val="20"/>
        </w:rPr>
        <w:t xml:space="preserve">REQUIRED ACTIONS</w:t>
      </w:r>
    </w:p>
    <w:p>
      <w:pPr>
        <w:spacing w:after="0"/>
      </w:pPr>
    </w:p>
    <w:p>
      <w:pPr>
        <w:spacing w:after="0"/>
      </w:pPr>
      <w:r>
        <w:rPr>
          <w:rFonts w:ascii="Courier New" w:hAnsi="Courier New" w:cs="Courier New"/>
          <w:sz w:val="20"/>
        </w:rPr>
        <w:t xml:space="preserve">Review the cross-border and cash transaction clusters for patterns indicative of structured movement or trade-based money laundering. Escalate the 68 training typology matches to determine whether they reflect knowledge gaps or documentary failure. Confirm that all red-flag items are supported by documented investigation and decision, with escalation to the MLRO where suspicion meets the reporting threshold under Federal Decree-Law No. 10 of 2025. Close out this report with summary findings within 24 hours.</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