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GRAMALTIN AS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HSV2-DER-2026-04-17-GRAMALTIN_AS_-_COMPL</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2026-04-17</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2026-04-17</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GRAMALTIN AS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0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94   </w:t>
      </w:r>
    </w:p>
    <w:p>
      <w:pPr>
        <w:spacing w:after="0"/>
      </w:pPr>
      <w:r>
        <w:rPr>
          <w:rFonts w:ascii="Courier New" w:hAnsi="Courier New" w:cs="Courier New"/>
          <w:sz w:val="20"/>
        </w:rPr>
        <w:t xml:space="preserve">sanctions             58   </w:t>
      </w:r>
    </w:p>
    <w:p>
      <w:pPr>
        <w:spacing w:after="0"/>
      </w:pPr>
      <w:r>
        <w:rPr>
          <w:rFonts w:ascii="Courier New" w:hAnsi="Courier New" w:cs="Courier New"/>
          <w:sz w:val="20"/>
        </w:rPr>
        <w:t xml:space="preserve">training              44   </w:t>
      </w:r>
    </w:p>
    <w:p>
      <w:pPr>
        <w:spacing w:after="0"/>
      </w:pPr>
      <w:r>
        <w:rPr>
          <w:rFonts w:ascii="Courier New" w:hAnsi="Courier New" w:cs="Courier New"/>
          <w:sz w:val="20"/>
        </w:rPr>
        <w:t xml:space="preserve">cash                  31   </w:t>
      </w:r>
    </w:p>
    <w:p>
      <w:pPr>
        <w:spacing w:after="0"/>
      </w:pPr>
      <w:r>
        <w:rPr>
          <w:rFonts w:ascii="Courier New" w:hAnsi="Courier New" w:cs="Courier New"/>
          <w:sz w:val="20"/>
        </w:rPr>
        <w:t xml:space="preserve">dpmsrTrigger          30   </w:t>
      </w:r>
    </w:p>
    <w:p>
      <w:pPr>
        <w:spacing w:after="0"/>
      </w:pPr>
      <w:r>
        <w:rPr>
          <w:rFonts w:ascii="Courier New" w:hAnsi="Courier New" w:cs="Courier New"/>
          <w:sz w:val="20"/>
        </w:rPr>
        <w:t xml:space="preserve">escalation            23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pep                   10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(no red-flag tags matched today)</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DAILY COMPLIANCE REPORT</w:t>
      </w:r>
    </w:p>
    <w:p>
      <w:pPr>
        <w:spacing w:after="0"/>
      </w:pPr>
    </w:p>
    <w:p>
      <w:pPr>
        <w:spacing w:after="0"/>
      </w:pPr>
      <w:r>
        <w:rPr>
          <w:rFonts w:ascii="Courier New" w:hAnsi="Courier New" w:cs="Courier New"/>
          <w:sz w:val="20"/>
        </w:rPr>
        <w:t xml:space="preserve">GRAMALTIN AS, 17 APRIL 2026</w:t>
      </w:r>
    </w:p>
    <w:p>
      <w:pPr>
        <w:spacing w:after="0"/>
      </w:pPr>
    </w:p>
    <w:p>
      <w:pPr>
        <w:spacing w:after="0"/>
      </w:pPr>
      <w:r>
        <w:rPr>
          <w:rFonts w:ascii="Courier New" w:hAnsi="Courier New" w:cs="Courier New"/>
          <w:sz w:val="20"/>
        </w:rPr>
        <w:t xml:space="preserve">STATE OF THE BOOK</w:t>
      </w:r>
    </w:p>
    <w:p>
      <w:pPr>
        <w:spacing w:after="0"/>
      </w:pPr>
    </w:p>
    <w:p>
      <w:pPr>
        <w:spacing w:after="0"/>
      </w:pPr>
      <w:r>
        <w:rPr>
          <w:rFonts w:ascii="Courier New" w:hAnsi="Courier New" w:cs="Courier New"/>
          <w:sz w:val="20"/>
        </w:rPr>
        <w:t xml:space="preserve">The compliance workstream is clear. We have no open items, no overdue items, and no items approaching their 48-hour threshold. No new items were raised in the past 24 hours and no tasks were completed.</w:t>
      </w:r>
    </w:p>
    <w:p>
      <w:pPr>
        <w:spacing w:after="0"/>
      </w:pPr>
    </w:p>
    <w:p>
      <w:pPr>
        <w:spacing w:after="0"/>
      </w:pPr>
      <w:r>
        <w:rPr>
          <w:rFonts w:ascii="Courier New" w:hAnsi="Courier New" w:cs="Courier New"/>
          <w:sz w:val="20"/>
        </w:rPr>
        <w:t xml:space="preserve">TYPOLOGIES REQUIRING ATTENTION</w:t>
      </w:r>
    </w:p>
    <w:p>
      <w:pPr>
        <w:spacing w:after="0"/>
      </w:pPr>
    </w:p>
    <w:p>
      <w:pPr>
        <w:spacing w:after="0"/>
      </w:pPr>
      <w:r>
        <w:rPr>
          <w:rFonts w:ascii="Courier New" w:hAnsi="Courier New" w:cs="Courier New"/>
          <w:sz w:val="20"/>
        </w:rPr>
        <w:t xml:space="preserve">Our typology screening has flagged 350 alerts today across 16 risk categories. The highest volumes are cross-border transaction patterns (94 alerts), sanctions name-matching (58 alerts), and training compliance gaps (44 alerts). We have also identified 30 alerts meeting the cash transaction threshold specified by the DPMSR framework, which require immediate review for reporting obligation triggers. The presence of recycled gold alerts (22), third-party compliance gaps (19), and high-risk jurisdiction exposure (10) confirms continued exposure across our customer base and transaction flows. A single stalled case and red-flag items on file warrant escalation to determine whether any of these typologies meet the threshold for Suspicious Transaction Report reporting to the Financial Intelligence Unit through the goAML platform.</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Screen all 30 DPMSR-threshold alerts for mandatory reporting eligibility within one business day. Escalate the single stalled case to the MLRO with supporting documentation within four hours. Conduct an immediate review of the 58 sanctions matches against the UN Security Council Consolidated List and the UAE Local Terrorist List to confirm no Funds Freeze Report obligations exist. Close the training compliance gap cohort by confirming all affected staff have completed current certification or raise a remedial action plan to the MLRO by end of business today.</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