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0"/>
      </w:pPr>
      <w:r>
        <w:rPr>
          <w:rFonts w:ascii="Courier New" w:hAnsi="Courier New" w:cs="Courier New"/>
          <w:sz w:val="20"/>
        </w:rPr>
        <w:t xml:space="preserve">=============================================================================</w:t>
      </w:r>
    </w:p>
    <w:p>
      <w:pPr>
        <w:spacing w:after="0"/>
      </w:pPr>
      <w:r>
        <w:rPr>
          <w:rFonts w:ascii="Courier New" w:hAnsi="Courier New" w:cs="Courier New"/>
          <w:sz w:val="20"/>
        </w:rPr>
        <w:t xml:space="preserve">THE REPORTING ENTITY</w:t>
      </w:r>
    </w:p>
    <w:p>
      <w:pPr>
        <w:spacing w:after="0"/>
      </w:pPr>
      <w:r>
        <w:rPr>
          <w:rFonts w:ascii="Courier New" w:hAnsi="Courier New" w:cs="Courier New"/>
          <w:sz w:val="20"/>
        </w:rPr>
        <w:t xml:space="preserve">DAILY COMPLIANCE REPORT</w:t>
      </w:r>
    </w:p>
    <w:p>
      <w:pPr>
        <w:spacing w:after="0"/>
      </w:pPr>
      <w:r>
        <w:rPr>
          <w:rFonts w:ascii="Courier New" w:hAnsi="Courier New" w:cs="Courier New"/>
          <w:sz w:val="20"/>
        </w:rPr>
        <w:t xml:space="preserve">MADISON LLC - COMPLIANCE PROGRAMME 2026</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Document reference:   HSV2-DER-2026-04-17-MADISON_LLC_-_COMPLI</w:t>
      </w:r>
    </w:p>
    <w:p>
      <w:pPr>
        <w:spacing w:after="0"/>
      </w:pPr>
      <w:r>
        <w:rPr>
          <w:rFonts w:ascii="Courier New" w:hAnsi="Courier New" w:cs="Courier New"/>
          <w:sz w:val="20"/>
        </w:rPr>
        <w:t xml:space="preserve">Classification:       Confidential. For MLRO review only.</w:t>
      </w:r>
    </w:p>
    <w:p>
      <w:pPr>
        <w:spacing w:after="0"/>
      </w:pPr>
      <w:r>
        <w:rPr>
          <w:rFonts w:ascii="Courier New" w:hAnsi="Courier New" w:cs="Courier New"/>
          <w:sz w:val="20"/>
        </w:rPr>
        <w:t xml:space="preserve">Version:              1.0</w:t>
      </w: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Prepared on:          2026-04-17</w:t>
      </w:r>
    </w:p>
    <w:p>
      <w:pPr>
        <w:spacing w:after="0"/>
      </w:pPr>
      <w:r>
        <w:rPr>
          <w:rFonts w:ascii="Courier New" w:hAnsi="Courier New" w:cs="Courier New"/>
          <w:sz w:val="20"/>
        </w:rPr>
        <w:t xml:space="preserve">Addressee:            LF, Money Laundering Reporting Officer (MLRO)</w:t>
      </w:r>
    </w:p>
    <w:p>
      <w:pPr>
        <w:spacing w:after="0"/>
      </w:pPr>
      <w:r>
        <w:rPr>
          <w:rFonts w:ascii="Courier New" w:hAnsi="Courier New" w:cs="Courier New"/>
          <w:sz w:val="20"/>
        </w:rPr>
        <w:t xml:space="preserve">Coverage:             Operational day ending 2026-04-17</w:t>
      </w:r>
    </w:p>
    <w:p>
      <w:pPr>
        <w:spacing w:after="0"/>
      </w:pPr>
      <w:r>
        <w:rPr>
          <w:rFonts w:ascii="Courier New" w:hAnsi="Courier New" w:cs="Courier New"/>
          <w:sz w:val="20"/>
        </w:rPr>
        <w:t xml:space="preserve">Retention period:     10 years, in accordance with the applicable provision</w:t>
      </w:r>
    </w:p>
    <w:p>
      <w:pPr>
        <w:spacing w:after="0"/>
      </w:pPr>
      <w:r>
        <w:rPr>
          <w:rFonts w:ascii="Courier New" w:hAnsi="Courier New" w:cs="Courier New"/>
          <w:sz w:val="20"/>
        </w:rPr>
        <w:t xml:space="preserve">                      of Federal Decree-Law No. 10 of 2025.</w:t>
      </w:r>
    </w:p>
    <w:p>
      <w:pPr>
        <w:spacing w:after="0"/>
      </w:pPr>
    </w:p>
    <w:p>
      <w:pPr>
        <w:spacing w:after="0"/>
      </w:pPr>
      <w:r>
        <w:rPr>
          <w:rFonts w:ascii="Courier New" w:hAnsi="Courier New" w:cs="Courier New"/>
          <w:sz w:val="20"/>
        </w:rPr>
        <w:t xml:space="preserve">ENTITY IDENTIFICATION</w:t>
      </w:r>
    </w:p>
    <w:p>
      <w:pPr>
        <w:spacing w:after="0"/>
      </w:pPr>
    </w:p>
    <w:p>
      <w:pPr>
        <w:spacing w:after="0"/>
      </w:pPr>
      <w:r>
        <w:rPr>
          <w:rFonts w:ascii="Courier New" w:hAnsi="Courier New" w:cs="Courier New"/>
          <w:sz w:val="20"/>
        </w:rPr>
        <w:t xml:space="preserve">Reporting entity: MADISON LLC - COMPLIANCE PROGRAMME 2026</w:t>
      </w:r>
    </w:p>
    <w:p>
      <w:pPr>
        <w:spacing w:after="0"/>
      </w:pPr>
      <w:r>
        <w:rPr>
          <w:rFonts w:ascii="Courier New" w:hAnsi="Courier New" w:cs="Courier New"/>
          <w:sz w:val="20"/>
        </w:rPr>
        <w:t xml:space="preserve">Sector: Dealer in Precious Metals and Stones (DPMS)</w:t>
      </w:r>
    </w:p>
    <w:p>
      <w:pPr>
        <w:spacing w:after="0"/>
      </w:pPr>
      <w:r>
        <w:rPr>
          <w:rFonts w:ascii="Courier New" w:hAnsi="Courier New" w:cs="Courier New"/>
          <w:sz w:val="20"/>
        </w:rPr>
        <w:t xml:space="preserve">Classification: Designated Non-Financial Business and Profession (DNFBP)</w:t>
      </w:r>
    </w:p>
    <w:p>
      <w:pPr>
        <w:spacing w:after="0"/>
      </w:pPr>
      <w:r>
        <w:rPr>
          <w:rFonts w:ascii="Courier New" w:hAnsi="Courier New" w:cs="Courier New"/>
          <w:sz w:val="20"/>
        </w:rPr>
        <w:t xml:space="preserve">Supervisor: Ministry of Economy (MOE)</w:t>
      </w:r>
    </w:p>
    <w:p>
      <w:pPr>
        <w:spacing w:after="0"/>
      </w:pPr>
    </w:p>
    <w:p>
      <w:pPr>
        <w:spacing w:after="0"/>
      </w:pPr>
      <w:r>
        <w:rPr>
          <w:rFonts w:ascii="Courier New" w:hAnsi="Courier New" w:cs="Courier New"/>
          <w:sz w:val="20"/>
        </w:rPr>
        <w:t xml:space="preserve">OPEN EXPOSURE SNAPSHOT</w:t>
      </w:r>
    </w:p>
    <w:p>
      <w:pPr>
        <w:spacing w:after="0"/>
      </w:pPr>
    </w:p>
    <w:p>
      <w:pPr>
        <w:spacing w:after="0"/>
      </w:pPr>
      <w:r>
        <w:rPr>
          <w:rFonts w:ascii="Courier New" w:hAnsi="Courier New" w:cs="Courier New"/>
          <w:sz w:val="20"/>
        </w:rPr>
        <w:t xml:space="preserve">Metric               Count</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Open items           1    </w:t>
      </w:r>
    </w:p>
    <w:p>
      <w:pPr>
        <w:spacing w:after="0"/>
      </w:pPr>
      <w:r>
        <w:rPr>
          <w:rFonts w:ascii="Courier New" w:hAnsi="Courier New" w:cs="Courier New"/>
          <w:sz w:val="20"/>
        </w:rPr>
        <w:t xml:space="preserve">Overdue items        0    </w:t>
      </w:r>
    </w:p>
    <w:p>
      <w:pPr>
        <w:spacing w:after="0"/>
      </w:pPr>
      <w:r>
        <w:rPr>
          <w:rFonts w:ascii="Courier New" w:hAnsi="Courier New" w:cs="Courier New"/>
          <w:sz w:val="20"/>
        </w:rPr>
        <w:t xml:space="preserve">At-risk items (48h)  0    </w:t>
      </w:r>
    </w:p>
    <w:p>
      <w:pPr>
        <w:spacing w:after="0"/>
      </w:pPr>
      <w:r>
        <w:rPr>
          <w:rFonts w:ascii="Courier New" w:hAnsi="Courier New" w:cs="Courier New"/>
          <w:sz w:val="20"/>
        </w:rPr>
        <w:t xml:space="preserve">Closed in last 24h   0    </w:t>
      </w:r>
    </w:p>
    <w:p>
      <w:pPr>
        <w:spacing w:after="0"/>
      </w:pPr>
      <w:r>
        <w:rPr>
          <w:rFonts w:ascii="Courier New" w:hAnsi="Courier New" w:cs="Courier New"/>
          <w:sz w:val="20"/>
        </w:rPr>
        <w:t xml:space="preserve">New in last 24h      0    </w:t>
      </w:r>
    </w:p>
    <w:p>
      <w:pPr>
        <w:spacing w:after="0"/>
      </w:pPr>
    </w:p>
    <w:p>
      <w:pPr>
        <w:spacing w:after="0"/>
      </w:pPr>
      <w:r>
        <w:rPr>
          <w:rFonts w:ascii="Courier New" w:hAnsi="Courier New" w:cs="Courier New"/>
          <w:sz w:val="20"/>
        </w:rPr>
        <w:t xml:space="preserve">TYPOLOGY DISTRIBUTION TODAY</w:t>
      </w:r>
    </w:p>
    <w:p>
      <w:pPr>
        <w:spacing w:after="0"/>
      </w:pPr>
    </w:p>
    <w:p>
      <w:pPr>
        <w:spacing w:after="0"/>
      </w:pPr>
      <w:r>
        <w:rPr>
          <w:rFonts w:ascii="Courier New" w:hAnsi="Courier New" w:cs="Courier New"/>
          <w:sz w:val="20"/>
        </w:rPr>
        <w:t xml:space="preserve">Typology              Tasks</w:t>
      </w:r>
    </w:p>
    <w:p>
      <w:pPr>
        <w:spacing w:after="0"/>
      </w:pPr>
      <w:r>
        <w:rPr>
          <w:rFonts w:ascii="Courier New" w:hAnsi="Courier New" w:cs="Courier New"/>
          <w:sz w:val="20"/>
        </w:rPr>
        <w:t xml:space="preserve">--------------------  -----</w:t>
      </w:r>
    </w:p>
    <w:p>
      <w:pPr>
        <w:spacing w:after="0"/>
      </w:pPr>
      <w:r>
        <w:rPr>
          <w:rFonts w:ascii="Courier New" w:hAnsi="Courier New" w:cs="Courier New"/>
          <w:sz w:val="20"/>
        </w:rPr>
        <w:t xml:space="preserve">crossBorder           92   </w:t>
      </w:r>
    </w:p>
    <w:p>
      <w:pPr>
        <w:spacing w:after="0"/>
      </w:pPr>
      <w:r>
        <w:rPr>
          <w:rFonts w:ascii="Courier New" w:hAnsi="Courier New" w:cs="Courier New"/>
          <w:sz w:val="20"/>
        </w:rPr>
        <w:t xml:space="preserve">sanctions             59   </w:t>
      </w:r>
    </w:p>
    <w:p>
      <w:pPr>
        <w:spacing w:after="0"/>
      </w:pPr>
      <w:r>
        <w:rPr>
          <w:rFonts w:ascii="Courier New" w:hAnsi="Courier New" w:cs="Courier New"/>
          <w:sz w:val="20"/>
        </w:rPr>
        <w:t xml:space="preserve">training              45   </w:t>
      </w:r>
    </w:p>
    <w:p>
      <w:pPr>
        <w:spacing w:after="0"/>
      </w:pPr>
      <w:r>
        <w:rPr>
          <w:rFonts w:ascii="Courier New" w:hAnsi="Courier New" w:cs="Courier New"/>
          <w:sz w:val="20"/>
        </w:rPr>
        <w:t xml:space="preserve">cash                  31   </w:t>
      </w:r>
    </w:p>
    <w:p>
      <w:pPr>
        <w:spacing w:after="0"/>
      </w:pPr>
      <w:r>
        <w:rPr>
          <w:rFonts w:ascii="Courier New" w:hAnsi="Courier New" w:cs="Courier New"/>
          <w:sz w:val="20"/>
        </w:rPr>
        <w:t xml:space="preserve">dpmsrTrigger          30   </w:t>
      </w:r>
    </w:p>
    <w:p>
      <w:pPr>
        <w:spacing w:after="0"/>
      </w:pPr>
      <w:r>
        <w:rPr>
          <w:rFonts w:ascii="Courier New" w:hAnsi="Courier New" w:cs="Courier New"/>
          <w:sz w:val="20"/>
        </w:rPr>
        <w:t xml:space="preserve">escalation            23   </w:t>
      </w:r>
    </w:p>
    <w:p>
      <w:pPr>
        <w:spacing w:after="0"/>
      </w:pPr>
      <w:r>
        <w:rPr>
          <w:rFonts w:ascii="Courier New" w:hAnsi="Courier New" w:cs="Courier New"/>
          <w:sz w:val="20"/>
        </w:rPr>
        <w:t xml:space="preserve">recycledGold          22   </w:t>
      </w:r>
    </w:p>
    <w:p>
      <w:pPr>
        <w:spacing w:after="0"/>
      </w:pPr>
      <w:r>
        <w:rPr>
          <w:rFonts w:ascii="Courier New" w:hAnsi="Courier New" w:cs="Courier New"/>
          <w:sz w:val="20"/>
        </w:rPr>
        <w:t xml:space="preserve">thirdParty            19   </w:t>
      </w:r>
    </w:p>
    <w:p>
      <w:pPr>
        <w:spacing w:after="0"/>
      </w:pPr>
      <w:r>
        <w:rPr>
          <w:rFonts w:ascii="Courier New" w:hAnsi="Courier New" w:cs="Courier New"/>
          <w:sz w:val="20"/>
        </w:rPr>
        <w:t xml:space="preserve">highRiskJurisdiction  10   </w:t>
      </w:r>
    </w:p>
    <w:p>
      <w:pPr>
        <w:spacing w:after="0"/>
      </w:pPr>
      <w:r>
        <w:rPr>
          <w:rFonts w:ascii="Courier New" w:hAnsi="Courier New" w:cs="Courier New"/>
          <w:sz w:val="20"/>
        </w:rPr>
        <w:t xml:space="preserve">pep                   9    </w:t>
      </w:r>
    </w:p>
    <w:p>
      <w:pPr>
        <w:spacing w:after="0"/>
      </w:pPr>
      <w:r>
        <w:rPr>
          <w:rFonts w:ascii="Courier New" w:hAnsi="Courier New" w:cs="Courier New"/>
          <w:sz w:val="20"/>
        </w:rPr>
        <w:t xml:space="preserve">cddGap                8    </w:t>
      </w:r>
    </w:p>
    <w:p>
      <w:pPr>
        <w:spacing w:after="0"/>
      </w:pPr>
      <w:r>
        <w:rPr>
          <w:rFonts w:ascii="Courier New" w:hAnsi="Courier New" w:cs="Courier New"/>
          <w:sz w:val="20"/>
        </w:rPr>
        <w:t xml:space="preserve">unusualPattern        5    </w:t>
      </w:r>
    </w:p>
    <w:p>
      <w:pPr>
        <w:spacing w:after="0"/>
      </w:pPr>
      <w:r>
        <w:rPr>
          <w:rFonts w:ascii="Courier New" w:hAnsi="Courier New" w:cs="Courier New"/>
          <w:sz w:val="20"/>
        </w:rPr>
        <w:t xml:space="preserve">stalled               1    </w:t>
      </w:r>
    </w:p>
    <w:p>
      <w:pPr>
        <w:spacing w:after="0"/>
      </w:pPr>
      <w:r>
        <w:rPr>
          <w:rFonts w:ascii="Courier New" w:hAnsi="Courier New" w:cs="Courier New"/>
          <w:sz w:val="20"/>
        </w:rPr>
        <w:t xml:space="preserve">preciousStones        1    </w:t>
      </w:r>
    </w:p>
    <w:p>
      <w:pPr>
        <w:spacing w:after="0"/>
      </w:pPr>
    </w:p>
    <w:p>
      <w:pPr>
        <w:spacing w:after="0"/>
      </w:pPr>
      <w:r>
        <w:rPr>
          <w:rFonts w:ascii="Courier New" w:hAnsi="Courier New" w:cs="Courier New"/>
          <w:sz w:val="20"/>
        </w:rPr>
        <w:t xml:space="preserve">OVERDUE ITEMS REQUIRING ATTENTION</w:t>
      </w:r>
    </w:p>
    <w:p>
      <w:pPr>
        <w:spacing w:after="0"/>
      </w:pPr>
    </w:p>
    <w:p>
      <w:pPr>
        <w:spacing w:after="0"/>
      </w:pPr>
      <w:r>
        <w:rPr>
          <w:rFonts w:ascii="Courier New" w:hAnsi="Courier New" w:cs="Courier New"/>
          <w:sz w:val="20"/>
        </w:rPr>
        <w:t xml:space="preserve">(no overdue items)</w:t>
      </w:r>
    </w:p>
    <w:p>
      <w:pPr>
        <w:spacing w:after="0"/>
      </w:pPr>
    </w:p>
    <w:p>
      <w:pPr>
        <w:spacing w:after="0"/>
      </w:pPr>
      <w:r>
        <w:rPr>
          <w:rFonts w:ascii="Courier New" w:hAnsi="Courier New" w:cs="Courier New"/>
          <w:sz w:val="20"/>
        </w:rPr>
        <w:t xml:space="preserve">RED-FLAG ITEMS RAISED OR OPEN</w:t>
      </w:r>
    </w:p>
    <w:p>
      <w:pPr>
        <w:spacing w:after="0"/>
      </w:pPr>
    </w:p>
    <w:p>
      <w:pPr>
        <w:spacing w:after="0"/>
      </w:pPr>
      <w:r>
        <w:rPr>
          <w:rFonts w:ascii="Courier New" w:hAnsi="Courier New" w:cs="Courier New"/>
          <w:sz w:val="20"/>
        </w:rPr>
        <w:t xml:space="preserve">(no red-flag tags matched today)</w:t>
      </w:r>
    </w:p>
    <w:p>
      <w:pPr>
        <w:spacing w:after="0"/>
      </w:pPr>
    </w:p>
    <w:p>
      <w:pPr>
        <w:spacing w:after="0"/>
      </w:pPr>
      <w:r>
        <w:rPr>
          <w:rFonts w:ascii="Courier New" w:hAnsi="Courier New" w:cs="Courier New"/>
          <w:sz w:val="20"/>
        </w:rPr>
        <w:t xml:space="preserve">ANALYTICAL COMMENTARY</w:t>
      </w:r>
    </w:p>
    <w:p>
      <w:pPr>
        <w:spacing w:after="0"/>
      </w:pPr>
    </w:p>
    <w:p>
      <w:pPr>
        <w:spacing w:after="0"/>
      </w:pPr>
      <w:r>
        <w:rPr>
          <w:rFonts w:ascii="Courier New" w:hAnsi="Courier New" w:cs="Courier New"/>
          <w:sz w:val="20"/>
        </w:rPr>
        <w:t xml:space="preserve">MADISON LLC COMPLIANCE PROGRAMME 2026</w:t>
      </w:r>
    </w:p>
    <w:p>
      <w:pPr>
        <w:spacing w:after="0"/>
      </w:pPr>
    </w:p>
    <w:p>
      <w:pPr>
        <w:spacing w:after="0"/>
      </w:pPr>
      <w:r>
        <w:rPr>
          <w:rFonts w:ascii="Courier New" w:hAnsi="Courier New" w:cs="Courier New"/>
          <w:sz w:val="20"/>
        </w:rPr>
        <w:t xml:space="preserve">DAILY COMPLIANCE REPORT</w:t>
      </w:r>
    </w:p>
    <w:p>
      <w:pPr>
        <w:spacing w:after="0"/>
      </w:pPr>
    </w:p>
    <w:p>
      <w:pPr>
        <w:spacing w:after="0"/>
      </w:pPr>
      <w:r>
        <w:rPr>
          <w:rFonts w:ascii="Courier New" w:hAnsi="Courier New" w:cs="Courier New"/>
          <w:sz w:val="20"/>
        </w:rPr>
        <w:t xml:space="preserve">17 APRIL 2026</w:t>
      </w:r>
    </w:p>
    <w:p>
      <w:pPr>
        <w:spacing w:after="0"/>
      </w:pPr>
    </w:p>
    <w:p>
      <w:pPr>
        <w:spacing w:after="0"/>
      </w:pPr>
      <w:r>
        <w:rPr>
          <w:rFonts w:ascii="Courier New" w:hAnsi="Courier New" w:cs="Courier New"/>
          <w:sz w:val="20"/>
        </w:rPr>
        <w:t xml:space="preserve">OPEN ITEMS AND WORKFLOW STATUS</w:t>
      </w:r>
    </w:p>
    <w:p>
      <w:pPr>
        <w:spacing w:after="0"/>
      </w:pPr>
    </w:p>
    <w:p>
      <w:pPr>
        <w:spacing w:after="0"/>
      </w:pPr>
      <w:r>
        <w:rPr>
          <w:rFonts w:ascii="Courier New" w:hAnsi="Courier New" w:cs="Courier New"/>
          <w:sz w:val="20"/>
        </w:rPr>
        <w:t xml:space="preserve">We hold one open compliance item in the active workflow today. No items are overdue, no items are at-risk within the 48-hour window, and no new items were raised in the last 24 hours. We completed zero items in the same period. Review all open items against current risk assessments.</w:t>
      </w:r>
    </w:p>
    <w:p>
      <w:pPr>
        <w:spacing w:after="0"/>
      </w:pPr>
    </w:p>
    <w:p>
      <w:pPr>
        <w:spacing w:after="0"/>
      </w:pPr>
      <w:r>
        <w:rPr>
          <w:rFonts w:ascii="Courier New" w:hAnsi="Courier New" w:cs="Courier New"/>
          <w:sz w:val="20"/>
        </w:rPr>
        <w:t xml:space="preserve">TYPOLOGY ANALYSIS AND ALERT VOLUME</w:t>
      </w:r>
    </w:p>
    <w:p>
      <w:pPr>
        <w:spacing w:after="0"/>
      </w:pPr>
    </w:p>
    <w:p>
      <w:pPr>
        <w:spacing w:after="0"/>
      </w:pPr>
      <w:r>
        <w:rPr>
          <w:rFonts w:ascii="Courier New" w:hAnsi="Courier New" w:cs="Courier New"/>
          <w:sz w:val="20"/>
        </w:rPr>
        <w:t xml:space="preserve">Today's compliance screening generated 397 typology matches across 16 detection categories. The volume is driven by cross-border transaction alerts (92 matches), sanctions screening activity (59 matches), and training programme alerts (45 matches). We recorded significant hits in cash transaction triggers (31 matches), DPMSR framework alerts (30 matches), and escalation flags (23 matches). Secondary typologies including recycled gold alerts (22 matches), third-party risk indicators (19 matches), and high-risk jurisdiction exposure (10 matches) are present. We also identified eight customer due diligence gaps, nine Politically Exposed Person flags, and five unusual pattern indicators. One stalled transaction and one precious stones concern are flagged. Red flags are present in the current dataset. Escalate the high-risk jurisdiction items and the eight CDD gaps to the MLRO for immediate assessment.</w:t>
      </w:r>
    </w:p>
    <w:p>
      <w:pPr>
        <w:spacing w:after="0"/>
      </w:pPr>
    </w:p>
    <w:p>
      <w:pPr>
        <w:spacing w:after="0"/>
      </w:pPr>
      <w:r>
        <w:rPr>
          <w:rFonts w:ascii="Courier New" w:hAnsi="Courier New" w:cs="Courier New"/>
          <w:sz w:val="20"/>
        </w:rPr>
        <w:t xml:space="preserve">NEXT ACTIONS</w:t>
      </w:r>
    </w:p>
    <w:p>
      <w:pPr>
        <w:spacing w:after="0"/>
      </w:pPr>
    </w:p>
    <w:p>
      <w:pPr>
        <w:spacing w:after="0"/>
      </w:pPr>
      <w:r>
        <w:rPr>
          <w:rFonts w:ascii="Courier New" w:hAnsi="Courier New" w:cs="Courier New"/>
          <w:sz w:val="20"/>
        </w:rPr>
        <w:t xml:space="preserve">Prioritise review of the 92 cross-border transaction alerts for sanctions exposure and beneficial ownership clarity. Review all nine PEP flags against the UN Security Council Consolidated List and the UAE Local Terrorist List to confirm screening accuracy. Address the eight customer due diligence gaps through targeted customer contact or Enhanced Due Diligence as warranted. Close the one-item open workflow within one business day.</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ITEMS REQUIRING MLRO DECISION BEFORE END OF DAY</w:t>
      </w:r>
    </w:p>
    <w:p>
      <w:pPr>
        <w:spacing w:after="0"/>
      </w:pPr>
    </w:p>
    <w:p>
      <w:pPr>
        <w:spacing w:after="0"/>
      </w:pPr>
      <w:r>
        <w:rPr>
          <w:rFonts w:ascii="Courier New" w:hAnsi="Courier New" w:cs="Courier New"/>
          <w:sz w:val="20"/>
        </w:rPr>
        <w:t xml:space="preserve">One or more items above are flagged for MLRO attention. The MLRO is asked to review the red-flag table and the overdue table and to direct the compliance function accordingly.</w:t>
      </w:r>
    </w:p>
    <w:p>
      <w:pPr>
        <w:spacing w:after="0"/>
      </w:pPr>
    </w:p>
    <w:p>
      <w:pPr>
        <w:spacing w:after="0"/>
      </w:pPr>
      <w:r>
        <w:rPr>
          <w:rFonts w:ascii="Courier New" w:hAnsi="Courier New" w:cs="Courier New"/>
          <w:sz w:val="20"/>
        </w:rPr>
        <w:t xml:space="preserve">-----------------------------------------------------------------------------</w:t>
      </w:r>
    </w:p>
    <w:p>
      <w:pPr>
        <w:spacing w:after="0"/>
      </w:pPr>
      <w:r>
        <w:rPr>
          <w:rFonts w:ascii="Courier New" w:hAnsi="Courier New" w:cs="Courier New"/>
          <w:sz w:val="20"/>
        </w:rPr>
        <w:t xml:space="preserve">DOCUMENT SIGN-OFF</w:t>
      </w:r>
    </w:p>
    <w:p>
      <w:pPr>
        <w:spacing w:after="0"/>
      </w:pPr>
      <w:r>
        <w:rPr>
          <w:rFonts w:ascii="Courier New" w:hAnsi="Courier New" w:cs="Courier New"/>
          <w:sz w:val="20"/>
        </w:rPr>
        <w:t xml:space="preserve">-----------------------------------------------------------------------------</w:t>
      </w:r>
    </w:p>
    <w:p>
      <w:pPr>
        <w:spacing w:after="0"/>
      </w:pPr>
    </w:p>
    <w:p>
      <w:pPr>
        <w:spacing w:after="0"/>
      </w:pPr>
      <w:r>
        <w:rPr>
          <w:rFonts w:ascii="Courier New" w:hAnsi="Courier New" w:cs="Courier New"/>
          <w:sz w:val="20"/>
        </w:rPr>
        <w:t xml:space="preserve">Prepared by:   Compliance function, the Reporting Entity</w:t>
      </w:r>
    </w:p>
    <w:p>
      <w:pPr>
        <w:spacing w:after="0"/>
      </w:pPr>
      <w:r>
        <w:rPr>
          <w:rFonts w:ascii="Courier New" w:hAnsi="Courier New" w:cs="Courier New"/>
          <w:sz w:val="20"/>
        </w:rPr>
        <w:t xml:space="preserve">Reviewed by:   [awaiting MLRO review]</w:t>
      </w:r>
    </w:p>
    <w:p>
      <w:pPr>
        <w:spacing w:after="0"/>
      </w:pPr>
      <w:r>
        <w:rPr>
          <w:rFonts w:ascii="Courier New" w:hAnsi="Courier New" w:cs="Courier New"/>
          <w:sz w:val="20"/>
        </w:rPr>
        <w:t xml:space="preserve">Approved by:   [awaiting MLRO approval]</w:t>
      </w:r>
    </w:p>
    <w:p>
      <w:pPr>
        <w:spacing w:after="0"/>
      </w:pPr>
    </w:p>
    <w:p>
      <w:pPr>
        <w:spacing w:after="0"/>
      </w:pPr>
      <w:r>
        <w:rPr>
          <w:rFonts w:ascii="Courier New" w:hAnsi="Courier New" w:cs="Courier New"/>
          <w:sz w:val="20"/>
        </w:rPr>
        <w:t xml:space="preserve">For review by the MLRO, LF.</w:t>
      </w:r>
    </w:p>
    <w:p>
      <w:pPr>
        <w:spacing w:after="0"/>
      </w:pPr>
    </w:p>
    <w:p>
      <w:pPr>
        <w:spacing w:after="0"/>
      </w:pPr>
      <w:r>
        <w:rPr>
          <w:rFonts w:ascii="Courier New" w:hAnsi="Courier New" w:cs="Courier New"/>
          <w:sz w:val="20"/>
        </w:rPr>
        <w:t xml:space="preserve">[End of document]</w:t>
      </w:r>
    </w:p>
    <w:sectPr>
      <w:pgSz w:w="12240" w:h="15840"/>
      <w:pgMar w:top="1080" w:right="1080" w:bottom="1080" w:left="1080" w:header="720" w:footer="720" w:gutter="0"/>
    </w:sectPr>
  </w:body>
</w:document>
</file>