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HSV2-DER-2026-04-17-NAPLES_LLC_-_COMPLIA</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NAPLES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1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134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dpmsrTrigger          31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escalation            22   </w:t>
      </w:r>
    </w:p>
    <w:p>
      <w:pPr>
        <w:spacing w:after="0"/>
      </w:pPr>
      <w:r>
        <w:rPr>
          <w:rFonts w:ascii="Courier New" w:hAnsi="Courier New" w:cs="Courier New"/>
          <w:sz w:val="20"/>
        </w:rPr>
        <w:t xml:space="preserve">thirdParty            20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4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 17 APRIL 2026</w:t>
      </w:r>
    </w:p>
    <w:p>
      <w:pPr>
        <w:spacing w:after="0"/>
      </w:pPr>
    </w:p>
    <w:p>
      <w:pPr>
        <w:spacing w:after="0"/>
      </w:pPr>
      <w:r>
        <w:rPr>
          <w:rFonts w:ascii="Courier New" w:hAnsi="Courier New" w:cs="Courier New"/>
          <w:sz w:val="20"/>
        </w:rPr>
        <w:t xml:space="preserve">COMPLIANCE BOOK STATUS</w:t>
      </w:r>
    </w:p>
    <w:p>
      <w:pPr>
        <w:spacing w:after="0"/>
      </w:pPr>
    </w:p>
    <w:p>
      <w:pPr>
        <w:spacing w:after="0"/>
      </w:pPr>
      <w:r>
        <w:rPr>
          <w:rFonts w:ascii="Courier New" w:hAnsi="Courier New" w:cs="Courier New"/>
          <w:sz w:val="20"/>
        </w:rPr>
        <w:t xml:space="preserve">We have one open item outstanding and no overdue items in the active compliance book as of 17 April 2026. We completed one item in the last 24 hours and raised no new items. The compliance programme remains current.</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We identified 59 sanctions screening matches today, alongside 10 matches against Politically Exposed Person databases. Cross-border transaction patterns triggered 134 alerts, indicating sustained monitoring of potential geographic risk factors. We also logged 44 training-related flags, 34 cash transaction alerts (32 threshold triggers and 2 stalled escalations), and 31 Dealers in Precious Metals and Stones Report obligations due for processing. We detected one precious stones transaction requiring further analysis, four unusual transaction patterns, and ten high-risk jurisdiction connections. These volume indicators, combined with the confirmed presence of red-flag items in our open portfolio, reflect normal operational activity within our client book but require systematic review to ensure timely escalation and proper documentation.</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Clear all sanctions and PEP screening matches against current UN Security Council Consolidated List and UAE Local Terrorist List records within two business days. Process all 31 Dealers in Precious Metals and Stones Report obligations through the goAML platform by close of business on 18 April 2026. Escalate the one precious stones transaction and four unusual patterns to the MLRO for sign-off within one business day. Complete all 44 training-related items before 24 April 2026.</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