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HSV2-DER-2026-04-17-SCREENINGS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Operational day ending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SCREENINGS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Sector: Dealer in Precious Metals and Stones (DPMS)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Designated Non-Financial Business and Profession (DNFBP)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Supervisor: Ministry of Economy (MOE)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EXPOSURE SNAPSHOT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items      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    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At-risk items (48h)  1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Closed in last 24h   0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New in last 24h    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DISTRIBUTION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    Tasks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sanctions    5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         4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crossBorder  2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   2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OVERDUE ITEMS REQUIRING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 overdue items)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RED-FLAG ITEMS RAISED OR OPEN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                                           Typology flags                           Due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  ---------------------------------------  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[TFS] ISTANBUL GOLD REFINERY — Confirmed Match  sanctions, pep, crossBorder              2026-04-18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[TFS] Bob Smith — Partial Match                 sanctions, pep                           2026-04-22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[TFS] ERMAN DONMEZ — Partial Match              sanctions, pep, escalation               2026-04-20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[TFS] OZCAN HALAC — Partial Match               sanctions, pep, crossBorder, escalation  2026-04-20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ANALYTICAL COMMENTARY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STATE OF THE BOOK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maintain 3 open screening items as of 17 April 2026 with no overdue items. One item is at risk and due within 48 hours, while we have raised 2 new items in the last 24 hours with zero completions in that period.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TYPOLOGIES REQUIRING MLRO ATTENTION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recorded 5 sanctions typology matches today, indicating multiple encounters with the UN Security Council Consolidated List and the UAE Local Terrorist List. We identified 4 Politically Exposed Person matches and 2 cross-border transaction flags. Two escalation items were also generated. The concentration of sanctions and PEP matches in a single day warrants review to ensure our targeted financial sanctions screening against the EOCN-implemented lists is performing as expected and to confirm that all matches have been appropriately investigated and documented in our sanctions screening logs.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Prioritise resolution of the single at-risk item due within 48 hours and complete its documentation today. Review all 5 sanctions matches for accuracy and completeness of investigation before close of business. Confirm that the 4 PEP matches have been subject to appropriate Enhanced Due Diligence measures under the applicable provision of Federal Decree-Law No. 10 of 2025. Escalate the 2 escalation items to the MLRO for decision on whether a Suspicious Transaction Report to the Financial Intelligence Unit is warranted.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ITEMS REQUIRING MLRO DECISION BEFORE END OF 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One or more items above are flagged for MLRO attention. The MLRO is asked to review the red-flag table and the overdue table and to direct the compliance function accordingly.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