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HSV2-DER-2026-04-17-ZOE_FZE_-_COMPLIANCE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Operational day ending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Sector: Dealer in Precious Metals and Stones (DPMS)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Designated Non-Financial Business and Profession (DNFBP)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Supervisor: Ministry of Economy (MOE)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EXPOSURE SNAPSHOT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items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At-risk items (48h)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Closed in last 24h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New in last 24h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DISTRIBUTION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             Tasks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crossBorder           94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            59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              44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                 31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dpmsrTrigger          30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escalation            23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recycledGold          22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thirdParty            19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                  10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highRiskJurisdiction  10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cddGap                8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unusualPattern        5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stalled             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preciousStones        1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REQUIRING ATTENTION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overdue items)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RED-FLAG ITEMS RAISED OR OPEN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red-flag tags matched today)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ANALYTICAL COMMENTARY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17 APRIL 2026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STATE OF THE BOOK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book is clear of overdue or at-risk items as of close of business today. No items were completed or raised in the last 24 hours, and we maintain zero open compliance actions requiring immediate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ALERTS REQUIRING MLRO ATTENTION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generated 389 typology matches today across all monitored risk categories. The highest-volume alerts were cross-border transactions (94 matches), sanctions screening hits (59 matches), and cash transaction triggers (31 matches). We also identified 44 training-related alerts, indicating potential gaps in staff competency or record-keeping. The combination of 30 DPMSR threshold triggers, 23 escalations flagged by our monitoring systems, and 10 high-risk jurisdiction matches reflects elevated transaction velocity in our customer base. We note the presence of one stalled investigation, 22 recycled gold alerts, and 8 customer due diligence gaps, which together suggest systemic gaps in our onboarding and ongoing monitoring procedures. One precious stone transaction has been flagged. The existence of red-flag items in the current book requires immediate attention.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the stalled investigation case and determine the cause of delay. Escalate the 8 customer due diligence gaps to our onboarding team with written notice of remediation deadline. Prioritise the 23 escalated items for MLRO determination of Suspicious Transaction Report threshold. Schedule a working session with Senior Management within five business days to address the root causes of the 44 training alerts.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ITEMS REQUIRING MLRO DECISION BEFORE END OF 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One or more items above are flagged for MLRO attention. The MLRO is asked to review the red-flag table and the overdue table and to direct the compliance function accordingly.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