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0"/>
      </w:pPr>
      <w:r>
        <w:rPr>
          <w:rFonts w:ascii="Courier New" w:hAnsi="Courier New" w:cs="Courier New"/>
          <w:sz w:val="20"/>
        </w:rPr>
        <w:t xml:space="preserve">=============================================================================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THE REPORTING ENTITY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DAILY REGULATORY UPDATE WATCH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=============================================================================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Document reference:   HSV2-REG-2026-04-06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Classification:       Confidential. For MLRO review only.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Version:              1.0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Prepared by:          Compliance function, the Reporting Entity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Prepared on:          2026-04-06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Addressee:            LF, Money Laundering Reporting Officer (MLRO)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Coverage:             Monitoring day 2026-04-06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Retention period:     10 years, in accordance with the applicable provision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                      of Federal Decree-Law No. 10 of 2025.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SCOPE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We compared the current content hash of 4 regulator and standard-setter pages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against the most recent stored snapshot. Any change is reported below and the new snapshot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is committed to the audit archive. No natural-language analysis is performed by this job.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The MLRO opens each changed URL to read the actual update.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CHANGED OR NEW SOURCES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Source                                         Authority                            Status   URL                                             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---------------------------------------------  -----------------------------------  -------  ------------------------------------------------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Ministry of Economy — AML supervision pages    Ministry of Economy                  changed  https://www.moec.gov.ae/en/anti-money-laundering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Executive Office for Control and Non-Prolife…  Executive Office for Control and N…  changed  https://www.uaeiec.gov.ae/en-us/                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UNCHANGED SOURCES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(none)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FETCH ERRORS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Source                             Authority                    Error             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---------------------------------  ---------------------------  ------------------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Central Bank of the UAE — AML/CFT  Central Bank of the UAE      HTTP 403 Forbidden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FATF — News                        Financial Action Task Force  HTTP 403 Forbidden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NEXT ACTIONS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Open each changed URL listed above and read the updated page content.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If the change introduces a new obligation, open a task in the compliance workspace with a clear owner and deadline.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If the change revises an existing obligation, update the relevant control, procedure or training material.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Investigate every fetch error. A persistent error indicates the source URL may have moved and the configuration must be updated.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-----------------------------------------------------------------------------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DOCUMENT SIGN-OFF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-----------------------------------------------------------------------------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Prepared by:   Compliance function, the Reporting Entity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Reviewed by:   [awaiting MLRO review]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Approved by:   [awaiting MLRO approval]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For review by the MLRO, LF.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[End of document]</w:t>
      </w:r>
    </w:p>
    <w:sectPr>
      <w:pgSz w:w="12240" w:h="15840"/>
      <w:pgMar w:top="1080" w:right="1080" w:bottom="1080" w:left="1080" w:header="720" w:footer="720" w:gutter="0"/>
    </w:sectPr>
  </w:body>
</w:document>
</file>