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INSPECTION EVIDENCE BUNDLE — MANIFEST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Bundle covering the 365 days ending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HSV2-IEB-2026-04-06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Prepared for production to the Ministry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Economy, the Executive Office for Control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Non-Proliferation or the Financial Intelligence Unit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on demand during a supervisory inspection.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on demand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 OF THIS MANIFEST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manifest is the index to the Inspection Evidence Bundle prepared by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for the 365 days ending 2026-04-06.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bundle is a complete copy of every artefact produced by the firm's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compliance automation during that period that is held in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repository's history archive. It is intended to be produced, in full,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Ministry of Economy, the Executive Office for Control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Non-Proliferation or the Financial Intelligence Unit on demand during 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supervisory inspection.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bundle is held in electronic form in the repository and can also be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exported to a portable storage device for presentation in person. Every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in the bundle is version-controlled and every change 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attributable to a commit in the repository history.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BUNDLE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files in the bundle:    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size:                   33.3 KB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weekly reports:     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Weekly pattern reports:  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artefacts:         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completion retros: 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candidate reviews: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Registers:                   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BUNDLE CONTENTS (file by file)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Folder: mlro-weekly/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(no files in the window)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Folder: weekly/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(no files in the window)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Folder: daily/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(no files in the window)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Folder: retro/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(no files in the window)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Folder: filings/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(no files in the window)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Folder: registers/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registers/deadlines/2026-04-06.docx   14.9 KB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registers/deadlines/2026-04-06.md   2.4 KB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registers/regulatory-cache/eocn__2026-04-06.hash   65 B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registers/regulatory-cache/moe-aml__2026-04-06.hash   65 B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registers/regulatory-updates/2026-04-06.docx   13.2 KB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registers/regulatory-updates/2026-04-06.md   2.7 KB   2026-04-06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HOW TO READ THE BUNDLE DURING AN INSPECTION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an inspector reading this bundle for the first time the compliance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function suggests the following short order of reading.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Read first, in order: the most recent Weekly MLRO Report to Senior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Management (mlro-weekly/), the most recent Weekly Pattern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(weekly/), and the counterparty register (registers/). Together these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three documents give the inspector a current picture of the firm's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from the top.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Read second: any filing candidate review of interest, together with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underlying Asana task referenced in it. The manifest supports this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cross-reference by file name.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Read third: the daily sanctions screening logs and PEP watch logs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period covered by the inspection window, for evidence that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firm operates its targeted financial sanctions programme and its PEP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on a continuing basis.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Read fourth: the daily completion retros, for evidence of programme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velocity and contemporaneous record keeping.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EVIDENTIARY INTEGRITY STATEMENT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file in the bundle is 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true and complete copy of the corresponding file held in the firm's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production archive under the repository's history/ folder, that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has been edited for the purpose of this bundle, and that any edit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made to any file in the production archive during the window 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visible in the repository history with the date and the identity of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editor. The compliance function further confirms that no file has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been removed from the production archive to the bundle, that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production archive continues to hold the complete ten year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required by the applicable provision of Federal Decree-Law No. 10 of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2025, and that the bundle is a snapshot of that production archive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rather than a curated subset of it.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6. 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 before production to the inspector]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 to release to the inspector]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