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CHANGE IMPACT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HSV2-REG-IMPACT-2026-04-14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Regulatory monitoring day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impact assessment covers 2 regulatory change(s) detected by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regulatory-watcher on 2026-04-14. Each change is classified by its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potential impact on the firm's AML/CFT controls, procedures and training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materials. The MLRO must review each classification and record a formal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action where warranted.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 impact  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 impact         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Low impact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changes assessed  2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  Executive Office for Cont  high    Change from a primary sanctions or standard-setting body. May require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MEDIUM-IMPACT CHANGES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Authority            Impact  Rationale                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  -------------------  ------  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  Ministry of Economy  medium  Change from a supervisory authority. May require updates to internal p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REQUIRED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HIGH: Every high-impact change must be reviewed by the MLRO within one business day. Open a task in the compliance workspace with a clear owner, deadline and remediation plan.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MEDIUM: Every medium-impact change must be reviewed within five business days. Update internal procedures, training materials or reporting templates as needed.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low-impact changes detected.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 all response actions and retain this assessment for the full ten-year retention period.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