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REGULATORY UPDATE WATCH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day 2026-04-10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current content hash of 5 regulator and standard-setter pages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the most recent stored snapshot. Any change is reported below and the new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is committed to the audit archive. No natural-language analysis is performed by this job.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opens each changed URL to read the actual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Status   URL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  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supervision pages    Ministry of Economy                  changed  https://www.moec.gov.ae/en/anti-money-laundering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Non-Prolife…  Executive Office for Control and N…  changed  https://www.uaeiec.gov.ae/en-us/            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UNCHANGED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Error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Central Bank of the UAE — AML/CFT              Central Bank of the UAE              HTTP 403 Forbidden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FATF — News                                    Financial Action Task Force          HTTP 403 Forbidden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World Monitor — Sanctions &amp; Geopolitical Int…  GDELT / World Monitor (aggregated …  HTTP 429 Too Many Requests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changed URL listed above and read the updated page content.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introduces a new obligation, open a task in the compliance workspace with a clear owner and deadline.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revises an existing obligation, update the relevant control, procedure or training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Investigate every fetch error. A persistent error indicates the source URL may have moved and the configuration must be updated.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