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DAILY REGULATORY UPDATE WATCH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HSV2-REG-2026-04-17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2026-04-17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Monitoring day 2026-04-17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SCOPE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We compared the current content hash of 5 regulator and standard-setter pages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against the most recent stored snapshot. Any change is reported below and the new snapshot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is committed to the audit archive. No natural-language analysis is performed by this job.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MLRO opens each changed URL to read the actual update.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CHANGED OR NEW SOURCES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                                      Authority            Status   URL                                          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  -------------------  -------  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— AML supervision pages  Ministry of Economy  changed  https://www.moec.gov.ae/en/anti-money-laundering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UNCHANGED SOURCES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(none)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FETCH ERRORS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                                        Authority                            Error                  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  -----------------------------------  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Executive Office for Control and Non-Prolife…  Executive Office for Control and N…  fetch failed           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Central Bank of the UAE — AML/CFT              Central Bank of the UAE              HTTP 403 Forbidden     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FATF — News                                    Financial Action Task Force          HTTP 403 Forbidden     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World Monitor — Sanctions &amp; Geopolitical Int…  GDELT / World Monitor (aggregated …  HTTP 429 Too Many Requests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NEXT ACTIONS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Open each changed URL listed above and read the updated page content.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If the change introduces a new obligation, open a task in the compliance workspace with a clear owner and deadline.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If the change revises an existing obligation, update the relevant control, procedure or training material.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Investigate every fetch error. A persistent error indicates the source URL may have moved and the configuration must be updated.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