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REFRESH TRACKER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HSV2-CDD-2026-04-06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Register as of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reviewed the counterparty register today to identify Customer Due Diligence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records that are due for refresh. The refresh window applied per record is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twelve months for high-risk, twenty-four months for medium-risk and thirty-six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months for low-risk, unless the record carries an explicit next_cdd_due override.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SUMMARY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Bucket                     Count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Overdue           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Critical (0 to 7 days)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Warning (8 to 30 days)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Missing baseline CDD date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counterparties       0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OVERDUE (CDD already lapsed)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CRITICAL (due within seven days)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WARNING (due within thirty days)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RECORDS WITHOUT A BASELINE CDD DATE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record is currently overdue.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Every record in the critical and warning buckets must be scheduled for a refresh interview or desk review before its due date.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any record without a baseline CDD date, perform a file review and populate the last_cdd_date column before the next working day ends.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Retain all refreshed CDD documentation for the full ten-year retention period.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