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BRANCH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HSV2-DER-2026-04-09-FG_BRANCH_-_COMPLIAN</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2026-04-09</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2026-04-09</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BRANCH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440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1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96   </w:t>
      </w:r>
    </w:p>
    <w:p>
      <w:pPr>
        <w:spacing w:after="0"/>
      </w:pPr>
      <w:r>
        <w:rPr>
          <w:rFonts w:ascii="Courier New" w:hAnsi="Courier New" w:cs="Courier New"/>
          <w:sz w:val="20"/>
        </w:rPr>
        <w:t xml:space="preserve">sanctions             60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dpmsrTrigger          32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escalation            24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r>
        <w:rPr>
          <w:rFonts w:ascii="Courier New" w:hAnsi="Courier New" w:cs="Courier New"/>
          <w:sz w:val="20"/>
        </w:rPr>
        <w:t xml:space="preserve">NRA-RF07 | NRA: Misuse of Legal Persons/Nominees         cddGap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FG BRANCH COMPLIANCE PROGRAMME 2026</w:t>
      </w:r>
    </w:p>
    <w:p>
      <w:pPr>
        <w:spacing w:after="0"/>
      </w:pPr>
      <w:r>
        <w:rPr>
          <w:rFonts w:ascii="Courier New" w:hAnsi="Courier New" w:cs="Courier New"/>
          <w:sz w:val="20"/>
        </w:rPr>
        <w:t xml:space="preserve">DAILY ANALYTICAL COMMENTARY</w:t>
      </w:r>
    </w:p>
    <w:p>
      <w:pPr>
        <w:spacing w:after="0"/>
      </w:pPr>
      <w:r>
        <w:rPr>
          <w:rFonts w:ascii="Courier New" w:hAnsi="Courier New" w:cs="Courier New"/>
          <w:sz w:val="20"/>
        </w:rPr>
        <w:t xml:space="preserve">2026-04-09</w:t>
      </w:r>
    </w:p>
    <w:p>
      <w:pPr>
        <w:spacing w:after="0"/>
      </w:pPr>
    </w:p>
    <w:p>
      <w:pPr>
        <w:spacing w:after="0"/>
      </w:pPr>
      <w:r>
        <w:rPr>
          <w:rFonts w:ascii="Courier New" w:hAnsi="Courier New" w:cs="Courier New"/>
          <w:sz w:val="20"/>
        </w:rPr>
        <w:t xml:space="preserve">OPERATIONAL STATUS</w:t>
      </w:r>
    </w:p>
    <w:p>
      <w:pPr>
        <w:spacing w:after="0"/>
      </w:pPr>
    </w:p>
    <w:p>
      <w:pPr>
        <w:spacing w:after="0"/>
      </w:pPr>
      <w:r>
        <w:rPr>
          <w:rFonts w:ascii="Courier New" w:hAnsi="Courier New" w:cs="Courier New"/>
          <w:sz w:val="20"/>
        </w:rPr>
        <w:t xml:space="preserve">We maintain 440 open items with no overdue items and one item due within 48 hours. Completion velocity remains flat, with no items closed or raised in the last 24 hours. Red-flag items are present in the portfolio.</w:t>
      </w:r>
    </w:p>
    <w:p>
      <w:pPr>
        <w:spacing w:after="0"/>
      </w:pPr>
    </w:p>
    <w:p>
      <w:pPr>
        <w:spacing w:after="0"/>
      </w:pPr>
      <w:r>
        <w:rPr>
          <w:rFonts w:ascii="Courier New" w:hAnsi="Courier New" w:cs="Courier New"/>
          <w:sz w:val="20"/>
        </w:rPr>
        <w:t xml:space="preserve">TYPOLOGY DISTRIBUTION AND RISK ASSESSMENT</w:t>
      </w:r>
    </w:p>
    <w:p>
      <w:pPr>
        <w:spacing w:after="0"/>
      </w:pPr>
    </w:p>
    <w:p>
      <w:pPr>
        <w:spacing w:after="0"/>
      </w:pPr>
      <w:r>
        <w:rPr>
          <w:rFonts w:ascii="Courier New" w:hAnsi="Courier New" w:cs="Courier New"/>
          <w:sz w:val="20"/>
        </w:rPr>
        <w:t xml:space="preserve">Cross-border transaction typologies dominate today's alert load, with 96 matches requiring geographic risk assessment against the FATF list of jurisdictions under increased monitoring and FATF list of high-risk jurisdictions subject to a call for action. Sanctions screening generated 60 matches against the UN Security Council Consolidated List and the UAE Local Terrorist List. Cash transaction typologies numbered 31 matches, approaching the cash transaction threshold specified by the DPMSR framework. Recycled gold typologies yielded 23 matches, a material increase in precious metals supply-chain risk. DPMSR framework triggers numbered 32, reflecting elevated transaction reporting obligations. Training compliance shows 44 items, indicating gaps in our staff development requirements under the applicable provision of Federal Decree-Law No. 10 of 2025. Customer Due Diligence gaps stand at 8 items. We note 24 escalation-ready items and one stalled investigation. We have also identified 19 third-party risk items, 10 high-risk jurisdiction matches, 5 unusual pattern alerts, and 1 precious stones typology match.</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Prioritise the single item due within 48 hours for completion today. Review all 24 escalation-ready items and escalate material matters to the MLRO for assessment within one business day. Commence targeted sanctions screening of the 96 cross-border transaction matches against current lists maintained by the Executive Office for Control and Non-Proliferation. Direct the compliance team to resource the 44 training gaps and close them within the mandatory record-retention compliance window under the applicable provision of Federal Decree-Law No. 10 of 2025.</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