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FG LLC - COMPLIANCE PROGRAMME 2026</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HSV2-DER-2026-04-09-FG_LLC_-_COMPLIANCE_</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2026-04-09</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2026-04-09</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FG LLC - COMPLIANCE PROGRAMME 2026</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441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crossBorder           101  </w:t>
      </w:r>
    </w:p>
    <w:p>
      <w:pPr>
        <w:spacing w:after="0"/>
      </w:pPr>
      <w:r>
        <w:rPr>
          <w:rFonts w:ascii="Courier New" w:hAnsi="Courier New" w:cs="Courier New"/>
          <w:sz w:val="20"/>
        </w:rPr>
        <w:t xml:space="preserve">training              68   </w:t>
      </w:r>
    </w:p>
    <w:p>
      <w:pPr>
        <w:spacing w:after="0"/>
      </w:pPr>
      <w:r>
        <w:rPr>
          <w:rFonts w:ascii="Courier New" w:hAnsi="Courier New" w:cs="Courier New"/>
          <w:sz w:val="20"/>
        </w:rPr>
        <w:t xml:space="preserve">sanctions             62   </w:t>
      </w:r>
    </w:p>
    <w:p>
      <w:pPr>
        <w:spacing w:after="0"/>
      </w:pPr>
      <w:r>
        <w:rPr>
          <w:rFonts w:ascii="Courier New" w:hAnsi="Courier New" w:cs="Courier New"/>
          <w:sz w:val="20"/>
        </w:rPr>
        <w:t xml:space="preserve">cash                  38   </w:t>
      </w:r>
    </w:p>
    <w:p>
      <w:pPr>
        <w:spacing w:after="0"/>
      </w:pPr>
      <w:r>
        <w:rPr>
          <w:rFonts w:ascii="Courier New" w:hAnsi="Courier New" w:cs="Courier New"/>
          <w:sz w:val="20"/>
        </w:rPr>
        <w:t xml:space="preserve">dpmsrTrigger          38   </w:t>
      </w:r>
    </w:p>
    <w:p>
      <w:pPr>
        <w:spacing w:after="0"/>
      </w:pPr>
      <w:r>
        <w:rPr>
          <w:rFonts w:ascii="Courier New" w:hAnsi="Courier New" w:cs="Courier New"/>
          <w:sz w:val="20"/>
        </w:rPr>
        <w:t xml:space="preserve">escalation            28   </w:t>
      </w:r>
    </w:p>
    <w:p>
      <w:pPr>
        <w:spacing w:after="0"/>
      </w:pPr>
      <w:r>
        <w:rPr>
          <w:rFonts w:ascii="Courier New" w:hAnsi="Courier New" w:cs="Courier New"/>
          <w:sz w:val="20"/>
        </w:rPr>
        <w:t xml:space="preserve">thirdParty            27   </w:t>
      </w:r>
    </w:p>
    <w:p>
      <w:pPr>
        <w:spacing w:after="0"/>
      </w:pPr>
      <w:r>
        <w:rPr>
          <w:rFonts w:ascii="Courier New" w:hAnsi="Courier New" w:cs="Courier New"/>
          <w:sz w:val="20"/>
        </w:rPr>
        <w:t xml:space="preserve">recycledGold          23   </w:t>
      </w:r>
    </w:p>
    <w:p>
      <w:pPr>
        <w:spacing w:after="0"/>
      </w:pPr>
      <w:r>
        <w:rPr>
          <w:rFonts w:ascii="Courier New" w:hAnsi="Courier New" w:cs="Courier New"/>
          <w:sz w:val="20"/>
        </w:rPr>
        <w:t xml:space="preserve">pep                   12   </w:t>
      </w:r>
    </w:p>
    <w:p>
      <w:pPr>
        <w:spacing w:after="0"/>
      </w:pPr>
      <w:r>
        <w:rPr>
          <w:rFonts w:ascii="Courier New" w:hAnsi="Courier New" w:cs="Courier New"/>
          <w:sz w:val="20"/>
        </w:rPr>
        <w:t xml:space="preserve">cddGap                10   </w:t>
      </w:r>
    </w:p>
    <w:p>
      <w:pPr>
        <w:spacing w:after="0"/>
      </w:pPr>
      <w:r>
        <w:rPr>
          <w:rFonts w:ascii="Courier New" w:hAnsi="Courier New" w:cs="Courier New"/>
          <w:sz w:val="20"/>
        </w:rPr>
        <w:t xml:space="preserve">highRiskJurisdiction  9    </w:t>
      </w:r>
    </w:p>
    <w:p>
      <w:pPr>
        <w:spacing w:after="0"/>
      </w:pPr>
      <w:r>
        <w:rPr>
          <w:rFonts w:ascii="Courier New" w:hAnsi="Courier New" w:cs="Courier New"/>
          <w:sz w:val="20"/>
        </w:rPr>
        <w:t xml:space="preserve">unusualPattern        5    </w:t>
      </w:r>
    </w:p>
    <w:p>
      <w:pPr>
        <w:spacing w:after="0"/>
      </w:pPr>
      <w:r>
        <w:rPr>
          <w:rFonts w:ascii="Courier New" w:hAnsi="Courier New" w:cs="Courier New"/>
          <w:sz w:val="20"/>
        </w:rPr>
        <w:t xml:space="preserve">stalled               2    </w:t>
      </w:r>
    </w:p>
    <w:p>
      <w:pPr>
        <w:spacing w:after="0"/>
      </w:pPr>
      <w:r>
        <w:rPr>
          <w:rFonts w:ascii="Courier New" w:hAnsi="Courier New" w:cs="Courier New"/>
          <w:sz w:val="20"/>
        </w:rPr>
        <w:t xml:space="preserve">preciousStones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Task                                                          Typology flags                    Due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CDD-CRITICAL: VAT Compliance for Precious Metals (2026-04-  pep, dpmsrTrigger                 2026-10-03</w:t>
      </w:r>
    </w:p>
    <w:p>
      <w:pPr>
        <w:spacing w:after="0"/>
      </w:pPr>
      <w:r>
        <w:rPr>
          <w:rFonts w:ascii="Courier New" w:hAnsi="Courier New" w:cs="Courier New"/>
          <w:sz w:val="20"/>
        </w:rPr>
        <w:t xml:space="preserve">RF-R05 | Jewelry Scrap Aggregation Without CDD                cash, recycledGold, dpmsrTrigger  2026-10-03</w:t>
      </w:r>
    </w:p>
    <w:p>
      <w:pPr>
        <w:spacing w:after="0"/>
      </w:pPr>
      <w:r>
        <w:rPr>
          <w:rFonts w:ascii="Courier New" w:hAnsi="Courier New" w:cs="Courier New"/>
          <w:sz w:val="20"/>
        </w:rPr>
        <w:t xml:space="preserve">RF-R06 | Industrial Scrap Gold Processing                     sanctions, recycledGold           2026-10-03</w:t>
      </w:r>
    </w:p>
    <w:p>
      <w:pPr>
        <w:spacing w:after="0"/>
      </w:pPr>
      <w:r>
        <w:rPr>
          <w:rFonts w:ascii="Courier New" w:hAnsi="Courier New" w:cs="Courier New"/>
          <w:sz w:val="20"/>
        </w:rPr>
        <w:t xml:space="preserve">RF-R07 | Recycled Gold from Theft or Proceeds of Crime        recycledGold                      2026-10-03</w:t>
      </w:r>
    </w:p>
    <w:p>
      <w:pPr>
        <w:spacing w:after="0"/>
      </w:pPr>
      <w:r>
        <w:rPr>
          <w:rFonts w:ascii="Courier New" w:hAnsi="Courier New" w:cs="Courier New"/>
          <w:sz w:val="20"/>
        </w:rPr>
        <w:t xml:space="preserve">RF-R08 | Cross-Border Recycled Gold Smuggling                 crossBorder, recycledGold         2026-10-03</w:t>
      </w:r>
    </w:p>
    <w:p>
      <w:pPr>
        <w:spacing w:after="0"/>
      </w:pPr>
      <w:r>
        <w:rPr>
          <w:rFonts w:ascii="Courier New" w:hAnsi="Courier New" w:cs="Courier New"/>
          <w:sz w:val="20"/>
        </w:rPr>
        <w:t xml:space="preserve">RF-R09 | Recycled Material CDD Exemption Abuse                recycledGold, cddGap              2026-10-03</w:t>
      </w:r>
    </w:p>
    <w:p>
      <w:pPr>
        <w:spacing w:after="0"/>
      </w:pPr>
      <w:r>
        <w:rPr>
          <w:rFonts w:ascii="Courier New" w:hAnsi="Courier New" w:cs="Courier New"/>
          <w:sz w:val="20"/>
        </w:rPr>
        <w:t xml:space="preserve">RF-R10 | Gold-for-Cash Schemes via Recycled Material          cash, recycledGold, thirdParty    2026-10-03</w:t>
      </w:r>
    </w:p>
    <w:p>
      <w:pPr>
        <w:spacing w:after="0"/>
      </w:pPr>
      <w:r>
        <w:rPr>
          <w:rFonts w:ascii="Courier New" w:hAnsi="Courier New" w:cs="Courier New"/>
          <w:sz w:val="20"/>
        </w:rPr>
        <w:t xml:space="preserve">RF-R11 | Recycled Gold Purity and Assay Manipulation          recycledGold                      2026-10-03</w:t>
      </w:r>
    </w:p>
    <w:p>
      <w:pPr>
        <w:spacing w:after="0"/>
      </w:pPr>
      <w:r>
        <w:rPr>
          <w:rFonts w:ascii="Courier New" w:hAnsi="Courier New" w:cs="Courier New"/>
          <w:sz w:val="20"/>
        </w:rPr>
        <w:t xml:space="preserve">RF-R12 | Recycled Gold from Sanctioned Entities               sanctions, recycledGold           2026-10-03</w:t>
      </w:r>
    </w:p>
    <w:p>
      <w:pPr>
        <w:spacing w:after="0"/>
      </w:pPr>
      <w:r>
        <w:rPr>
          <w:rFonts w:ascii="Courier New" w:hAnsi="Courier New" w:cs="Courier New"/>
          <w:sz w:val="20"/>
        </w:rPr>
        <w:t xml:space="preserve">RF-R14 | Recycled Gold from Conflict/Looted Sources           recycledGold                      2026-10-03</w:t>
      </w:r>
    </w:p>
    <w:p>
      <w:pPr>
        <w:spacing w:after="0"/>
      </w:pPr>
      <w:r>
        <w:rPr>
          <w:rFonts w:ascii="Courier New" w:hAnsi="Courier New" w:cs="Courier New"/>
          <w:sz w:val="20"/>
        </w:rPr>
        <w:t xml:space="preserve">RF-R15 | Recycling Facility Due Diligence Gaps                recycledGold                      2026-10-03</w:t>
      </w:r>
    </w:p>
    <w:p>
      <w:pPr>
        <w:spacing w:after="0"/>
      </w:pPr>
      <w:r>
        <w:rPr>
          <w:rFonts w:ascii="Courier New" w:hAnsi="Courier New" w:cs="Courier New"/>
          <w:sz w:val="20"/>
        </w:rPr>
        <w:t xml:space="preserve">RF-R16 | Old Gold and Inherited Gold Verification             recycledGold                      2026-10-03</w:t>
      </w:r>
    </w:p>
    <w:p>
      <w:pPr>
        <w:spacing w:after="0"/>
      </w:pPr>
      <w:r>
        <w:rPr>
          <w:rFonts w:ascii="Courier New" w:hAnsi="Courier New" w:cs="Courier New"/>
          <w:sz w:val="20"/>
        </w:rPr>
        <w:t xml:space="preserve">RF-R17 | Recycled Gold as Hawala Alternative                  crossBorder, recycledGold         2026-10-03</w:t>
      </w:r>
    </w:p>
    <w:p>
      <w:pPr>
        <w:spacing w:after="0"/>
      </w:pPr>
      <w:r>
        <w:rPr>
          <w:rFonts w:ascii="Courier New" w:hAnsi="Courier New" w:cs="Courier New"/>
          <w:sz w:val="20"/>
        </w:rPr>
        <w:t xml:space="preserve">RF-R18 | Dental and Medical Gold Recycling Anomalies          recycledGold                      2026-10-03</w:t>
      </w:r>
    </w:p>
    <w:p>
      <w:pPr>
        <w:spacing w:after="0"/>
      </w:pPr>
      <w:r>
        <w:rPr>
          <w:rFonts w:ascii="Courier New" w:hAnsi="Courier New" w:cs="Courier New"/>
          <w:sz w:val="20"/>
        </w:rPr>
        <w:t xml:space="preserve">RF-R19 | Recycled Gold Documentation Gaps                     recycledGold                      2026-10-03</w:t>
      </w:r>
    </w:p>
    <w:p>
      <w:pPr>
        <w:spacing w:after="0"/>
      </w:pPr>
      <w:r>
        <w:rPr>
          <w:rFonts w:ascii="Courier New" w:hAnsi="Courier New" w:cs="Courier New"/>
          <w:sz w:val="20"/>
        </w:rPr>
        <w:t xml:space="preserve">NRA-RF01 | NRA: High Cash Intensity Patterns                  cash                              2026-10-03</w:t>
      </w:r>
    </w:p>
    <w:p>
      <w:pPr>
        <w:spacing w:after="0"/>
      </w:pPr>
      <w:r>
        <w:rPr>
          <w:rFonts w:ascii="Courier New" w:hAnsi="Courier New" w:cs="Courier New"/>
          <w:sz w:val="20"/>
        </w:rPr>
        <w:t xml:space="preserve">NRA-RF02 | NRA: Cross-Border Trade Exploitation               cash, crossBorder                 2026-10-03</w:t>
      </w:r>
    </w:p>
    <w:p>
      <w:pPr>
        <w:spacing w:after="0"/>
      </w:pPr>
      <w:r>
        <w:rPr>
          <w:rFonts w:ascii="Courier New" w:hAnsi="Courier New" w:cs="Courier New"/>
          <w:sz w:val="20"/>
        </w:rPr>
        <w:t xml:space="preserve">NRA-RF04 | FIU Typology 1: TBML in Gold Trade                 thirdParty                        2026-10-03</w:t>
      </w:r>
    </w:p>
    <w:p>
      <w:pPr>
        <w:spacing w:after="0"/>
      </w:pPr>
      <w:r>
        <w:rPr>
          <w:rFonts w:ascii="Courier New" w:hAnsi="Courier New" w:cs="Courier New"/>
          <w:sz w:val="20"/>
        </w:rPr>
        <w:t xml:space="preserve">NRA-RF05 | FIU Typology 2: Foreign Currency Exchange ML       cash                              2026-10-03</w:t>
      </w:r>
    </w:p>
    <w:p>
      <w:pPr>
        <w:spacing w:after="0"/>
      </w:pPr>
      <w:r>
        <w:rPr>
          <w:rFonts w:ascii="Courier New" w:hAnsi="Courier New" w:cs="Courier New"/>
          <w:sz w:val="20"/>
        </w:rPr>
        <w:t xml:space="preserve">NRA-RF06 | FIU Typology 3: Gold/Cash Smuggling                cash, crossBorder                 2026-10-03</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FG LLC COMPLIANCE PROGRAMME 2026</w:t>
      </w:r>
    </w:p>
    <w:p>
      <w:pPr>
        <w:spacing w:after="0"/>
      </w:pPr>
      <w:r>
        <w:rPr>
          <w:rFonts w:ascii="Courier New" w:hAnsi="Courier New" w:cs="Courier New"/>
          <w:sz w:val="20"/>
        </w:rPr>
        <w:t xml:space="preserve">9 April 2026</w:t>
      </w:r>
    </w:p>
    <w:p>
      <w:pPr>
        <w:spacing w:after="0"/>
      </w:pPr>
    </w:p>
    <w:p>
      <w:pPr>
        <w:spacing w:after="0"/>
      </w:pPr>
      <w:r>
        <w:rPr>
          <w:rFonts w:ascii="Courier New" w:hAnsi="Courier New" w:cs="Courier New"/>
          <w:sz w:val="20"/>
        </w:rPr>
        <w:t xml:space="preserve">OPERATIONAL STATUS</w:t>
      </w:r>
    </w:p>
    <w:p>
      <w:pPr>
        <w:spacing w:after="0"/>
      </w:pPr>
    </w:p>
    <w:p>
      <w:pPr>
        <w:spacing w:after="0"/>
      </w:pPr>
      <w:r>
        <w:rPr>
          <w:rFonts w:ascii="Courier New" w:hAnsi="Courier New" w:cs="Courier New"/>
          <w:sz w:val="20"/>
        </w:rPr>
        <w:t xml:space="preserve">The compliance book contains 441 open items as of today. No items are overdue, and no items are at risk of breaching their due dates within the next 48 hours. The programme recorded no completions in the last 24 hours and no new items were raised.</w:t>
      </w:r>
    </w:p>
    <w:p>
      <w:pPr>
        <w:spacing w:after="0"/>
      </w:pPr>
    </w:p>
    <w:p>
      <w:pPr>
        <w:spacing w:after="0"/>
      </w:pPr>
      <w:r>
        <w:rPr>
          <w:rFonts w:ascii="Courier New" w:hAnsi="Courier New" w:cs="Courier New"/>
          <w:sz w:val="20"/>
        </w:rPr>
        <w:t xml:space="preserve">TYPOLOGY ANALYSIS</w:t>
      </w:r>
    </w:p>
    <w:p>
      <w:pPr>
        <w:spacing w:after="0"/>
      </w:pPr>
    </w:p>
    <w:p>
      <w:pPr>
        <w:spacing w:after="0"/>
      </w:pPr>
      <w:r>
        <w:rPr>
          <w:rFonts w:ascii="Courier New" w:hAnsi="Courier New" w:cs="Courier New"/>
          <w:sz w:val="20"/>
        </w:rPr>
        <w:t xml:space="preserve">We identified 441 typology matches across 14 risk categories today. The highest-volume alerts are cross-border transactions (101 matches), sanctions screening results (62 matches), training compliance gaps (68 matches), and cash transaction reports (38 matches). The combination of training gaps and cash transaction volume requires escalation, as these two categories together indicate potential control weaknesses in our customer-facing teams. Secondary concern items include PEP screening (12 matches), recycled gold sourcing (23 matches), DPMSR trigger events (38 matches), and high-risk jurisdiction exposures (9 matches). We also note the presence of red-flag items in the book without further detail provided. Escalation alerts (28 matches) and third-party due diligence gaps (27 matches) suggest that our upstream and downstream risk controls are under strain. The smaller but material categories of invoices requiring fraud review, unusual transaction patterns, and precious stones sourcing complete the picture.</w:t>
      </w:r>
    </w:p>
    <w:p>
      <w:pPr>
        <w:spacing w:after="0"/>
      </w:pPr>
    </w:p>
    <w:p>
      <w:pPr>
        <w:spacing w:after="0"/>
      </w:pPr>
      <w:r>
        <w:rPr>
          <w:rFonts w:ascii="Courier New" w:hAnsi="Courier New" w:cs="Courier New"/>
          <w:sz w:val="20"/>
        </w:rPr>
        <w:t xml:space="preserve">NEXT ACTIONS</w:t>
      </w:r>
    </w:p>
    <w:p>
      <w:pPr>
        <w:spacing w:after="0"/>
      </w:pPr>
    </w:p>
    <w:p>
      <w:pPr>
        <w:spacing w:after="0"/>
      </w:pPr>
      <w:r>
        <w:rPr>
          <w:rFonts w:ascii="Courier New" w:hAnsi="Courier New" w:cs="Courier New"/>
          <w:sz w:val="20"/>
        </w:rPr>
        <w:t xml:space="preserve">Escalate the training compliance gap items (68 matches) to the MLRO for prioritisation within one business day. Review all cash transaction alerts (38 matches) against the applicable Dealers in Precious Metals and Stones Report thresholds and prepare a summary for the MLRO by end of business today. Triage the red-flag items present in the book and categorise them by severity. Schedule a deep-dive meeting between compliance and the MLRO to address the combined volume of escalation items (28 matches) and third-party gaps (27 matches) within three business days.</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