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GRAMALTIN AS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HSV2-DER-2026-04-09-GRAMALTIN_AS_-_COMPL</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GRAMALTIN AS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58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GRAMALTIN AS</w:t>
      </w:r>
    </w:p>
    <w:p>
      <w:pPr>
        <w:spacing w:after="0"/>
      </w:pPr>
    </w:p>
    <w:p>
      <w:pPr>
        <w:spacing w:after="0"/>
      </w:pPr>
      <w:r>
        <w:rPr>
          <w:rFonts w:ascii="Courier New" w:hAnsi="Courier New" w:cs="Courier New"/>
          <w:sz w:val="20"/>
        </w:rPr>
        <w:t xml:space="preserve">2026-04-09</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maintain 441 open compliance items with no overdue or at-risk items. No new items were raised in the last 24 hours and no items were completed in the last 24 hours, reflecting a steady state in our current workload.</w:t>
      </w:r>
    </w:p>
    <w:p>
      <w:pPr>
        <w:spacing w:after="0"/>
      </w:pPr>
    </w:p>
    <w:p>
      <w:pPr>
        <w:spacing w:after="0"/>
      </w:pPr>
      <w:r>
        <w:rPr>
          <w:rFonts w:ascii="Courier New" w:hAnsi="Courier New" w:cs="Courier New"/>
          <w:sz w:val="20"/>
        </w:rPr>
        <w:t xml:space="preserve">TYPOLOGIES REQUIRING MLRO ATTENTION</w:t>
      </w:r>
    </w:p>
    <w:p>
      <w:pPr>
        <w:spacing w:after="0"/>
      </w:pPr>
    </w:p>
    <w:p>
      <w:pPr>
        <w:spacing w:after="0"/>
      </w:pPr>
      <w:r>
        <w:rPr>
          <w:rFonts w:ascii="Courier New" w:hAnsi="Courier New" w:cs="Courier New"/>
          <w:sz w:val="20"/>
        </w:rPr>
        <w:t xml:space="preserve">The typology matches today indicate elevated activity across multiple compliance domains. Cross-border transactions account for 94 matches, the highest single category, reflecting significant international movement requiring sanctions screening verification. Sanctions screening itself triggered 58 matches, followed by 44 training-related flags, which suggest we have active deficiencies in staff knowledge that require immediate remediation. Cash transaction monitoring generated 31 matches against the cash transaction threshold specified by the DPMSR framework. Recycled gold sourcing produced 22 matches, indicating continuing supply-chain diligence requirements. DPMSR triggers totalled 30 matches. We also recorded red-flag items in the system today. Ten matches relate to high-risk jurisdictions as defined by the FATF list of jurisdictions under increased monitoring and FATF list of high-risk jurisdictions subject to a call for action. The remaining typologies, including PEP matches (10), CDD gaps (8), third-party due diligence (19), escalation flags (23), unusual patterns (5), stalled investigations (1) and precious stones (1), each require individual review. Escalate all red-flag items to the MLRO for priority assessment today.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Review all 44 training flags and confirm completion status of our staff certification programme by close of business 2026-04-10. Verify sanctions screening of the 94 cross-border transactions against the UN Security Council Consolidated List and the UAE Local Terrorist List within two business days. Assess the 30 DPMSR triggers for completeness and reporting obligation within one business day. Summarize the red-flag items and their underlying cases for MLRO review by 14:00 today.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