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0"/>
      </w:pPr>
      <w:r>
        <w:rPr>
          <w:rFonts w:ascii="Courier New" w:hAnsi="Courier New" w:cs="Courier New"/>
          <w:sz w:val="20"/>
        </w:rPr>
        <w:t xml:space="preserve">=============================================================================</w:t>
      </w:r>
    </w:p>
    <w:p>
      <w:pPr>
        <w:spacing w:after="0"/>
      </w:pPr>
      <w:r>
        <w:rPr>
          <w:rFonts w:ascii="Courier New" w:hAnsi="Courier New" w:cs="Courier New"/>
          <w:sz w:val="20"/>
        </w:rPr>
        <w:t xml:space="preserve">THE REPORTING ENTITY</w:t>
      </w:r>
    </w:p>
    <w:p>
      <w:pPr>
        <w:spacing w:after="0"/>
      </w:pPr>
      <w:r>
        <w:rPr>
          <w:rFonts w:ascii="Courier New" w:hAnsi="Courier New" w:cs="Courier New"/>
          <w:sz w:val="20"/>
        </w:rPr>
        <w:t xml:space="preserve">DAILY COMPLIANCE REPORT</w:t>
      </w:r>
    </w:p>
    <w:p>
      <w:pPr>
        <w:spacing w:after="0"/>
      </w:pPr>
      <w:r>
        <w:rPr>
          <w:rFonts w:ascii="Courier New" w:hAnsi="Courier New" w:cs="Courier New"/>
          <w:sz w:val="20"/>
        </w:rPr>
        <w:t xml:space="preserve">MADISON LLC - COMPLIANCE PROGRAMME 2026</w:t>
      </w:r>
    </w:p>
    <w:p>
      <w:pPr>
        <w:spacing w:after="0"/>
      </w:pPr>
      <w:r>
        <w:rPr>
          <w:rFonts w:ascii="Courier New" w:hAnsi="Courier New" w:cs="Courier New"/>
          <w:sz w:val="20"/>
        </w:rPr>
        <w:t xml:space="preserve">=============================================================================</w:t>
      </w:r>
    </w:p>
    <w:p>
      <w:pPr>
        <w:spacing w:after="0"/>
      </w:pPr>
    </w:p>
    <w:p>
      <w:pPr>
        <w:spacing w:after="0"/>
      </w:pPr>
      <w:r>
        <w:rPr>
          <w:rFonts w:ascii="Courier New" w:hAnsi="Courier New" w:cs="Courier New"/>
          <w:sz w:val="20"/>
        </w:rPr>
        <w:t xml:space="preserve">Document reference:   HSV2-DER-2026-04-09-MADISON_LLC_-_COMPLI</w:t>
      </w:r>
    </w:p>
    <w:p>
      <w:pPr>
        <w:spacing w:after="0"/>
      </w:pPr>
      <w:r>
        <w:rPr>
          <w:rFonts w:ascii="Courier New" w:hAnsi="Courier New" w:cs="Courier New"/>
          <w:sz w:val="20"/>
        </w:rPr>
        <w:t xml:space="preserve">Classification:       Confidential. For MLRO review only.</w:t>
      </w:r>
    </w:p>
    <w:p>
      <w:pPr>
        <w:spacing w:after="0"/>
      </w:pPr>
      <w:r>
        <w:rPr>
          <w:rFonts w:ascii="Courier New" w:hAnsi="Courier New" w:cs="Courier New"/>
          <w:sz w:val="20"/>
        </w:rPr>
        <w:t xml:space="preserve">Version:              1.0</w:t>
      </w:r>
    </w:p>
    <w:p>
      <w:pPr>
        <w:spacing w:after="0"/>
      </w:pPr>
      <w:r>
        <w:rPr>
          <w:rFonts w:ascii="Courier New" w:hAnsi="Courier New" w:cs="Courier New"/>
          <w:sz w:val="20"/>
        </w:rPr>
        <w:t xml:space="preserve">Prepared by:          Compliance function, the Reporting Entity</w:t>
      </w:r>
    </w:p>
    <w:p>
      <w:pPr>
        <w:spacing w:after="0"/>
      </w:pPr>
      <w:r>
        <w:rPr>
          <w:rFonts w:ascii="Courier New" w:hAnsi="Courier New" w:cs="Courier New"/>
          <w:sz w:val="20"/>
        </w:rPr>
        <w:t xml:space="preserve">Prepared on:          2026-04-09</w:t>
      </w:r>
    </w:p>
    <w:p>
      <w:pPr>
        <w:spacing w:after="0"/>
      </w:pPr>
      <w:r>
        <w:rPr>
          <w:rFonts w:ascii="Courier New" w:hAnsi="Courier New" w:cs="Courier New"/>
          <w:sz w:val="20"/>
        </w:rPr>
        <w:t xml:space="preserve">Addressee:            LF, Money Laundering Reporting Officer (MLRO)</w:t>
      </w:r>
    </w:p>
    <w:p>
      <w:pPr>
        <w:spacing w:after="0"/>
      </w:pPr>
      <w:r>
        <w:rPr>
          <w:rFonts w:ascii="Courier New" w:hAnsi="Courier New" w:cs="Courier New"/>
          <w:sz w:val="20"/>
        </w:rPr>
        <w:t xml:space="preserve">Coverage:             Operational day ending 2026-04-09</w:t>
      </w:r>
    </w:p>
    <w:p>
      <w:pPr>
        <w:spacing w:after="0"/>
      </w:pPr>
      <w:r>
        <w:rPr>
          <w:rFonts w:ascii="Courier New" w:hAnsi="Courier New" w:cs="Courier New"/>
          <w:sz w:val="20"/>
        </w:rPr>
        <w:t xml:space="preserve">Retention period:     10 years, in accordance with the applicable provision</w:t>
      </w:r>
    </w:p>
    <w:p>
      <w:pPr>
        <w:spacing w:after="0"/>
      </w:pPr>
      <w:r>
        <w:rPr>
          <w:rFonts w:ascii="Courier New" w:hAnsi="Courier New" w:cs="Courier New"/>
          <w:sz w:val="20"/>
        </w:rPr>
        <w:t xml:space="preserve">                      of Federal Decree-Law No. 10 of 2025.</w:t>
      </w:r>
    </w:p>
    <w:p>
      <w:pPr>
        <w:spacing w:after="0"/>
      </w:pPr>
    </w:p>
    <w:p>
      <w:pPr>
        <w:spacing w:after="0"/>
      </w:pPr>
      <w:r>
        <w:rPr>
          <w:rFonts w:ascii="Courier New" w:hAnsi="Courier New" w:cs="Courier New"/>
          <w:sz w:val="20"/>
        </w:rPr>
        <w:t xml:space="preserve">ENTITY IDENTIFICATION</w:t>
      </w:r>
    </w:p>
    <w:p>
      <w:pPr>
        <w:spacing w:after="0"/>
      </w:pPr>
    </w:p>
    <w:p>
      <w:pPr>
        <w:spacing w:after="0"/>
      </w:pPr>
      <w:r>
        <w:rPr>
          <w:rFonts w:ascii="Courier New" w:hAnsi="Courier New" w:cs="Courier New"/>
          <w:sz w:val="20"/>
        </w:rPr>
        <w:t xml:space="preserve">Reporting entity: MADISON LLC - COMPLIANCE PROGRAMME 2026</w:t>
      </w:r>
    </w:p>
    <w:p>
      <w:pPr>
        <w:spacing w:after="0"/>
      </w:pPr>
      <w:r>
        <w:rPr>
          <w:rFonts w:ascii="Courier New" w:hAnsi="Courier New" w:cs="Courier New"/>
          <w:sz w:val="20"/>
        </w:rPr>
        <w:t xml:space="preserve">Sector: Dealer in Precious Metals and Stones (DPMS)</w:t>
      </w:r>
    </w:p>
    <w:p>
      <w:pPr>
        <w:spacing w:after="0"/>
      </w:pPr>
      <w:r>
        <w:rPr>
          <w:rFonts w:ascii="Courier New" w:hAnsi="Courier New" w:cs="Courier New"/>
          <w:sz w:val="20"/>
        </w:rPr>
        <w:t xml:space="preserve">Classification: Designated Non-Financial Business and Profession (DNFBP)</w:t>
      </w:r>
    </w:p>
    <w:p>
      <w:pPr>
        <w:spacing w:after="0"/>
      </w:pPr>
      <w:r>
        <w:rPr>
          <w:rFonts w:ascii="Courier New" w:hAnsi="Courier New" w:cs="Courier New"/>
          <w:sz w:val="20"/>
        </w:rPr>
        <w:t xml:space="preserve">Supervisor: Ministry of Economy (MOE)</w:t>
      </w:r>
    </w:p>
    <w:p>
      <w:pPr>
        <w:spacing w:after="0"/>
      </w:pPr>
    </w:p>
    <w:p>
      <w:pPr>
        <w:spacing w:after="0"/>
      </w:pPr>
      <w:r>
        <w:rPr>
          <w:rFonts w:ascii="Courier New" w:hAnsi="Courier New" w:cs="Courier New"/>
          <w:sz w:val="20"/>
        </w:rPr>
        <w:t xml:space="preserve">OPEN EXPOSURE SNAPSHOT</w:t>
      </w:r>
    </w:p>
    <w:p>
      <w:pPr>
        <w:spacing w:after="0"/>
      </w:pPr>
    </w:p>
    <w:p>
      <w:pPr>
        <w:spacing w:after="0"/>
      </w:pPr>
      <w:r>
        <w:rPr>
          <w:rFonts w:ascii="Courier New" w:hAnsi="Courier New" w:cs="Courier New"/>
          <w:sz w:val="20"/>
        </w:rPr>
        <w:t xml:space="preserve">Metric               Count</w:t>
      </w:r>
    </w:p>
    <w:p>
      <w:pPr>
        <w:spacing w:after="0"/>
      </w:pPr>
      <w:r>
        <w:rPr>
          <w:rFonts w:ascii="Courier New" w:hAnsi="Courier New" w:cs="Courier New"/>
          <w:sz w:val="20"/>
        </w:rPr>
        <w:t xml:space="preserve">-------------------  -----</w:t>
      </w:r>
    </w:p>
    <w:p>
      <w:pPr>
        <w:spacing w:after="0"/>
      </w:pPr>
      <w:r>
        <w:rPr>
          <w:rFonts w:ascii="Courier New" w:hAnsi="Courier New" w:cs="Courier New"/>
          <w:sz w:val="20"/>
        </w:rPr>
        <w:t xml:space="preserve">Open items           441  </w:t>
      </w:r>
    </w:p>
    <w:p>
      <w:pPr>
        <w:spacing w:after="0"/>
      </w:pPr>
      <w:r>
        <w:rPr>
          <w:rFonts w:ascii="Courier New" w:hAnsi="Courier New" w:cs="Courier New"/>
          <w:sz w:val="20"/>
        </w:rPr>
        <w:t xml:space="preserve">Overdue items        0    </w:t>
      </w:r>
    </w:p>
    <w:p>
      <w:pPr>
        <w:spacing w:after="0"/>
      </w:pPr>
      <w:r>
        <w:rPr>
          <w:rFonts w:ascii="Courier New" w:hAnsi="Courier New" w:cs="Courier New"/>
          <w:sz w:val="20"/>
        </w:rPr>
        <w:t xml:space="preserve">At-risk items (48h)  0    </w:t>
      </w:r>
    </w:p>
    <w:p>
      <w:pPr>
        <w:spacing w:after="0"/>
      </w:pPr>
      <w:r>
        <w:rPr>
          <w:rFonts w:ascii="Courier New" w:hAnsi="Courier New" w:cs="Courier New"/>
          <w:sz w:val="20"/>
        </w:rPr>
        <w:t xml:space="preserve">Closed in last 24h   0    </w:t>
      </w:r>
    </w:p>
    <w:p>
      <w:pPr>
        <w:spacing w:after="0"/>
      </w:pPr>
      <w:r>
        <w:rPr>
          <w:rFonts w:ascii="Courier New" w:hAnsi="Courier New" w:cs="Courier New"/>
          <w:sz w:val="20"/>
        </w:rPr>
        <w:t xml:space="preserve">New in last 24h      0    </w:t>
      </w:r>
    </w:p>
    <w:p>
      <w:pPr>
        <w:spacing w:after="0"/>
      </w:pPr>
    </w:p>
    <w:p>
      <w:pPr>
        <w:spacing w:after="0"/>
      </w:pPr>
      <w:r>
        <w:rPr>
          <w:rFonts w:ascii="Courier New" w:hAnsi="Courier New" w:cs="Courier New"/>
          <w:sz w:val="20"/>
        </w:rPr>
        <w:t xml:space="preserve">TYPOLOGY DISTRIBUTION TODAY</w:t>
      </w:r>
    </w:p>
    <w:p>
      <w:pPr>
        <w:spacing w:after="0"/>
      </w:pPr>
    </w:p>
    <w:p>
      <w:pPr>
        <w:spacing w:after="0"/>
      </w:pPr>
      <w:r>
        <w:rPr>
          <w:rFonts w:ascii="Courier New" w:hAnsi="Courier New" w:cs="Courier New"/>
          <w:sz w:val="20"/>
        </w:rPr>
        <w:t xml:space="preserve">Typology              Tasks</w:t>
      </w:r>
    </w:p>
    <w:p>
      <w:pPr>
        <w:spacing w:after="0"/>
      </w:pPr>
      <w:r>
        <w:rPr>
          <w:rFonts w:ascii="Courier New" w:hAnsi="Courier New" w:cs="Courier New"/>
          <w:sz w:val="20"/>
        </w:rPr>
        <w:t xml:space="preserve">--------------------  -----</w:t>
      </w:r>
    </w:p>
    <w:p>
      <w:pPr>
        <w:spacing w:after="0"/>
      </w:pPr>
      <w:r>
        <w:rPr>
          <w:rFonts w:ascii="Courier New" w:hAnsi="Courier New" w:cs="Courier New"/>
          <w:sz w:val="20"/>
        </w:rPr>
        <w:t xml:space="preserve">crossBorder           92   </w:t>
      </w:r>
    </w:p>
    <w:p>
      <w:pPr>
        <w:spacing w:after="0"/>
      </w:pPr>
      <w:r>
        <w:rPr>
          <w:rFonts w:ascii="Courier New" w:hAnsi="Courier New" w:cs="Courier New"/>
          <w:sz w:val="20"/>
        </w:rPr>
        <w:t xml:space="preserve">sanctions             59   </w:t>
      </w:r>
    </w:p>
    <w:p>
      <w:pPr>
        <w:spacing w:after="0"/>
      </w:pPr>
      <w:r>
        <w:rPr>
          <w:rFonts w:ascii="Courier New" w:hAnsi="Courier New" w:cs="Courier New"/>
          <w:sz w:val="20"/>
        </w:rPr>
        <w:t xml:space="preserve">training              45   </w:t>
      </w:r>
    </w:p>
    <w:p>
      <w:pPr>
        <w:spacing w:after="0"/>
      </w:pPr>
      <w:r>
        <w:rPr>
          <w:rFonts w:ascii="Courier New" w:hAnsi="Courier New" w:cs="Courier New"/>
          <w:sz w:val="20"/>
        </w:rPr>
        <w:t xml:space="preserve">cash                  31   </w:t>
      </w:r>
    </w:p>
    <w:p>
      <w:pPr>
        <w:spacing w:after="0"/>
      </w:pPr>
      <w:r>
        <w:rPr>
          <w:rFonts w:ascii="Courier New" w:hAnsi="Courier New" w:cs="Courier New"/>
          <w:sz w:val="20"/>
        </w:rPr>
        <w:t xml:space="preserve">dpmsrTrigger          30   </w:t>
      </w:r>
    </w:p>
    <w:p>
      <w:pPr>
        <w:spacing w:after="0"/>
      </w:pPr>
      <w:r>
        <w:rPr>
          <w:rFonts w:ascii="Courier New" w:hAnsi="Courier New" w:cs="Courier New"/>
          <w:sz w:val="20"/>
        </w:rPr>
        <w:t xml:space="preserve">escalation            23   </w:t>
      </w:r>
    </w:p>
    <w:p>
      <w:pPr>
        <w:spacing w:after="0"/>
      </w:pPr>
      <w:r>
        <w:rPr>
          <w:rFonts w:ascii="Courier New" w:hAnsi="Courier New" w:cs="Courier New"/>
          <w:sz w:val="20"/>
        </w:rPr>
        <w:t xml:space="preserve">recycledGold          22   </w:t>
      </w:r>
    </w:p>
    <w:p>
      <w:pPr>
        <w:spacing w:after="0"/>
      </w:pPr>
      <w:r>
        <w:rPr>
          <w:rFonts w:ascii="Courier New" w:hAnsi="Courier New" w:cs="Courier New"/>
          <w:sz w:val="20"/>
        </w:rPr>
        <w:t xml:space="preserve">thirdParty            19   </w:t>
      </w:r>
    </w:p>
    <w:p>
      <w:pPr>
        <w:spacing w:after="0"/>
      </w:pPr>
      <w:r>
        <w:rPr>
          <w:rFonts w:ascii="Courier New" w:hAnsi="Courier New" w:cs="Courier New"/>
          <w:sz w:val="20"/>
        </w:rPr>
        <w:t xml:space="preserve">highRiskJurisdiction  10   </w:t>
      </w:r>
    </w:p>
    <w:p>
      <w:pPr>
        <w:spacing w:after="0"/>
      </w:pPr>
      <w:r>
        <w:rPr>
          <w:rFonts w:ascii="Courier New" w:hAnsi="Courier New" w:cs="Courier New"/>
          <w:sz w:val="20"/>
        </w:rPr>
        <w:t xml:space="preserve">pep                   9    </w:t>
      </w:r>
    </w:p>
    <w:p>
      <w:pPr>
        <w:spacing w:after="0"/>
      </w:pPr>
      <w:r>
        <w:rPr>
          <w:rFonts w:ascii="Courier New" w:hAnsi="Courier New" w:cs="Courier New"/>
          <w:sz w:val="20"/>
        </w:rPr>
        <w:t xml:space="preserve">cddGap                8    </w:t>
      </w:r>
    </w:p>
    <w:p>
      <w:pPr>
        <w:spacing w:after="0"/>
      </w:pPr>
      <w:r>
        <w:rPr>
          <w:rFonts w:ascii="Courier New" w:hAnsi="Courier New" w:cs="Courier New"/>
          <w:sz w:val="20"/>
        </w:rPr>
        <w:t xml:space="preserve">unusualPattern        5    </w:t>
      </w:r>
    </w:p>
    <w:p>
      <w:pPr>
        <w:spacing w:after="0"/>
      </w:pPr>
      <w:r>
        <w:rPr>
          <w:rFonts w:ascii="Courier New" w:hAnsi="Courier New" w:cs="Courier New"/>
          <w:sz w:val="20"/>
        </w:rPr>
        <w:t xml:space="preserve">stalled               1    </w:t>
      </w:r>
    </w:p>
    <w:p>
      <w:pPr>
        <w:spacing w:after="0"/>
      </w:pPr>
      <w:r>
        <w:rPr>
          <w:rFonts w:ascii="Courier New" w:hAnsi="Courier New" w:cs="Courier New"/>
          <w:sz w:val="20"/>
        </w:rPr>
        <w:t xml:space="preserve">preciousStones        1    </w:t>
      </w:r>
    </w:p>
    <w:p>
      <w:pPr>
        <w:spacing w:after="0"/>
      </w:pPr>
    </w:p>
    <w:p>
      <w:pPr>
        <w:spacing w:after="0"/>
      </w:pPr>
      <w:r>
        <w:rPr>
          <w:rFonts w:ascii="Courier New" w:hAnsi="Courier New" w:cs="Courier New"/>
          <w:sz w:val="20"/>
        </w:rPr>
        <w:t xml:space="preserve">OVERDUE ITEMS REQUIRING ATTENTION</w:t>
      </w:r>
    </w:p>
    <w:p>
      <w:pPr>
        <w:spacing w:after="0"/>
      </w:pPr>
    </w:p>
    <w:p>
      <w:pPr>
        <w:spacing w:after="0"/>
      </w:pPr>
      <w:r>
        <w:rPr>
          <w:rFonts w:ascii="Courier New" w:hAnsi="Courier New" w:cs="Courier New"/>
          <w:sz w:val="20"/>
        </w:rPr>
        <w:t xml:space="preserve">(no overdue items)</w:t>
      </w:r>
    </w:p>
    <w:p>
      <w:pPr>
        <w:spacing w:after="0"/>
      </w:pPr>
    </w:p>
    <w:p>
      <w:pPr>
        <w:spacing w:after="0"/>
      </w:pPr>
      <w:r>
        <w:rPr>
          <w:rFonts w:ascii="Courier New" w:hAnsi="Courier New" w:cs="Courier New"/>
          <w:sz w:val="20"/>
        </w:rPr>
        <w:t xml:space="preserve">RED-FLAG ITEMS RAISED OR OPEN</w:t>
      </w:r>
    </w:p>
    <w:p>
      <w:pPr>
        <w:spacing w:after="0"/>
      </w:pPr>
    </w:p>
    <w:p>
      <w:pPr>
        <w:spacing w:after="0"/>
      </w:pPr>
      <w:r>
        <w:rPr>
          <w:rFonts w:ascii="Courier New" w:hAnsi="Courier New" w:cs="Courier New"/>
          <w:sz w:val="20"/>
        </w:rPr>
        <w:t xml:space="preserve">Task                                                          Typology flags                    Due       </w:t>
      </w:r>
    </w:p>
    <w:p>
      <w:pPr>
        <w:spacing w:after="0"/>
      </w:pPr>
      <w:r>
        <w:rPr>
          <w:rFonts w:ascii="Courier New" w:hAnsi="Courier New" w:cs="Courier New"/>
          <w:sz w:val="20"/>
        </w:rPr>
        <w:t xml:space="preserve">------------------------------------------------------------  --------------------------------  ----------</w:t>
      </w:r>
    </w:p>
    <w:p>
      <w:pPr>
        <w:spacing w:after="0"/>
      </w:pPr>
      <w:r>
        <w:rPr>
          <w:rFonts w:ascii="Courier New" w:hAnsi="Courier New" w:cs="Courier New"/>
          <w:sz w:val="20"/>
        </w:rPr>
        <w:t xml:space="preserve">⚠ CDD-CRITICAL: VAT Compliance for Precious Metals (2026-04-  pep, dpmsrTrigger                 2026-10-03</w:t>
      </w:r>
    </w:p>
    <w:p>
      <w:pPr>
        <w:spacing w:after="0"/>
      </w:pPr>
      <w:r>
        <w:rPr>
          <w:rFonts w:ascii="Courier New" w:hAnsi="Courier New" w:cs="Courier New"/>
          <w:sz w:val="20"/>
        </w:rPr>
        <w:t xml:space="preserve">RF-R05 | Jewelry Scrap Aggregation Without CDD                cash, recycledGold, dpmsrTrigger  2026-10-03</w:t>
      </w:r>
    </w:p>
    <w:p>
      <w:pPr>
        <w:spacing w:after="0"/>
      </w:pPr>
      <w:r>
        <w:rPr>
          <w:rFonts w:ascii="Courier New" w:hAnsi="Courier New" w:cs="Courier New"/>
          <w:sz w:val="20"/>
        </w:rPr>
        <w:t xml:space="preserve">RF-R06 | Industrial Scrap Gold Processing                     sanctions, recycledGold           2026-10-03</w:t>
      </w:r>
    </w:p>
    <w:p>
      <w:pPr>
        <w:spacing w:after="0"/>
      </w:pPr>
      <w:r>
        <w:rPr>
          <w:rFonts w:ascii="Courier New" w:hAnsi="Courier New" w:cs="Courier New"/>
          <w:sz w:val="20"/>
        </w:rPr>
        <w:t xml:space="preserve">RF-R07 | Recycled Gold from Theft or Proceeds of Crime        recycledGold                      2026-10-03</w:t>
      </w:r>
    </w:p>
    <w:p>
      <w:pPr>
        <w:spacing w:after="0"/>
      </w:pPr>
      <w:r>
        <w:rPr>
          <w:rFonts w:ascii="Courier New" w:hAnsi="Courier New" w:cs="Courier New"/>
          <w:sz w:val="20"/>
        </w:rPr>
        <w:t xml:space="preserve">RF-R08 | Cross-Border Recycled Gold Smuggling                 crossBorder, recycledGold         2026-10-03</w:t>
      </w:r>
    </w:p>
    <w:p>
      <w:pPr>
        <w:spacing w:after="0"/>
      </w:pPr>
      <w:r>
        <w:rPr>
          <w:rFonts w:ascii="Courier New" w:hAnsi="Courier New" w:cs="Courier New"/>
          <w:sz w:val="20"/>
        </w:rPr>
        <w:t xml:space="preserve">RF-R09 | Recycled Material CDD Exemption Abuse                recycledGold, cddGap              2026-10-03</w:t>
      </w:r>
    </w:p>
    <w:p>
      <w:pPr>
        <w:spacing w:after="0"/>
      </w:pPr>
      <w:r>
        <w:rPr>
          <w:rFonts w:ascii="Courier New" w:hAnsi="Courier New" w:cs="Courier New"/>
          <w:sz w:val="20"/>
        </w:rPr>
        <w:t xml:space="preserve">RF-R10 | Gold-for-Cash Schemes via Recycled Material          cash, recycledGold, thirdParty    2026-10-03</w:t>
      </w:r>
    </w:p>
    <w:p>
      <w:pPr>
        <w:spacing w:after="0"/>
      </w:pPr>
      <w:r>
        <w:rPr>
          <w:rFonts w:ascii="Courier New" w:hAnsi="Courier New" w:cs="Courier New"/>
          <w:sz w:val="20"/>
        </w:rPr>
        <w:t xml:space="preserve">RF-R11 | Recycled Gold Purity and Assay Manipulation          recycledGold                      2026-10-03</w:t>
      </w:r>
    </w:p>
    <w:p>
      <w:pPr>
        <w:spacing w:after="0"/>
      </w:pPr>
      <w:r>
        <w:rPr>
          <w:rFonts w:ascii="Courier New" w:hAnsi="Courier New" w:cs="Courier New"/>
          <w:sz w:val="20"/>
        </w:rPr>
        <w:t xml:space="preserve">RF-R12 | Recycled Gold from Sanctioned Entities               sanctions, recycledGold           2026-10-03</w:t>
      </w:r>
    </w:p>
    <w:p>
      <w:pPr>
        <w:spacing w:after="0"/>
      </w:pPr>
      <w:r>
        <w:rPr>
          <w:rFonts w:ascii="Courier New" w:hAnsi="Courier New" w:cs="Courier New"/>
          <w:sz w:val="20"/>
        </w:rPr>
        <w:t xml:space="preserve">RF-R14 | Recycled Gold from Conflict/Looted Sources           recycledGold                      2026-10-03</w:t>
      </w:r>
    </w:p>
    <w:p>
      <w:pPr>
        <w:spacing w:after="0"/>
      </w:pPr>
      <w:r>
        <w:rPr>
          <w:rFonts w:ascii="Courier New" w:hAnsi="Courier New" w:cs="Courier New"/>
          <w:sz w:val="20"/>
        </w:rPr>
        <w:t xml:space="preserve">RF-R15 | Recycling Facility Due Diligence Gaps                recycledGold                      2026-10-03</w:t>
      </w:r>
    </w:p>
    <w:p>
      <w:pPr>
        <w:spacing w:after="0"/>
      </w:pPr>
      <w:r>
        <w:rPr>
          <w:rFonts w:ascii="Courier New" w:hAnsi="Courier New" w:cs="Courier New"/>
          <w:sz w:val="20"/>
        </w:rPr>
        <w:t xml:space="preserve">RF-R16 | Old Gold and Inherited Gold Verification             recycledGold                      2026-10-03</w:t>
      </w:r>
    </w:p>
    <w:p>
      <w:pPr>
        <w:spacing w:after="0"/>
      </w:pPr>
      <w:r>
        <w:rPr>
          <w:rFonts w:ascii="Courier New" w:hAnsi="Courier New" w:cs="Courier New"/>
          <w:sz w:val="20"/>
        </w:rPr>
        <w:t xml:space="preserve">RF-R17 | Recycled Gold as Hawala Alternative                  crossBorder, recycledGold         2026-10-03</w:t>
      </w:r>
    </w:p>
    <w:p>
      <w:pPr>
        <w:spacing w:after="0"/>
      </w:pPr>
      <w:r>
        <w:rPr>
          <w:rFonts w:ascii="Courier New" w:hAnsi="Courier New" w:cs="Courier New"/>
          <w:sz w:val="20"/>
        </w:rPr>
        <w:t xml:space="preserve">RF-R18 | Dental and Medical Gold Recycling Anomalies          recycledGold                      2026-10-03</w:t>
      </w:r>
    </w:p>
    <w:p>
      <w:pPr>
        <w:spacing w:after="0"/>
      </w:pPr>
      <w:r>
        <w:rPr>
          <w:rFonts w:ascii="Courier New" w:hAnsi="Courier New" w:cs="Courier New"/>
          <w:sz w:val="20"/>
        </w:rPr>
        <w:t xml:space="preserve">RF-R19 | Recycled Gold Documentation Gaps                     recycledGold                      2026-10-03</w:t>
      </w:r>
    </w:p>
    <w:p>
      <w:pPr>
        <w:spacing w:after="0"/>
      </w:pPr>
      <w:r>
        <w:rPr>
          <w:rFonts w:ascii="Courier New" w:hAnsi="Courier New" w:cs="Courier New"/>
          <w:sz w:val="20"/>
        </w:rPr>
        <w:t xml:space="preserve">NRA-RF01 | NRA: High Cash Intensity Patterns                  cash                              2026-10-03</w:t>
      </w:r>
    </w:p>
    <w:p>
      <w:pPr>
        <w:spacing w:after="0"/>
      </w:pPr>
      <w:r>
        <w:rPr>
          <w:rFonts w:ascii="Courier New" w:hAnsi="Courier New" w:cs="Courier New"/>
          <w:sz w:val="20"/>
        </w:rPr>
        <w:t xml:space="preserve">NRA-RF02 | NRA: Cross-Border Trade Exploitation               cash, crossBorder                 2026-10-03</w:t>
      </w:r>
    </w:p>
    <w:p>
      <w:pPr>
        <w:spacing w:after="0"/>
      </w:pPr>
      <w:r>
        <w:rPr>
          <w:rFonts w:ascii="Courier New" w:hAnsi="Courier New" w:cs="Courier New"/>
          <w:sz w:val="20"/>
        </w:rPr>
        <w:t xml:space="preserve">NRA-RF04 | FIU Typology 1: TBML in Gold Trade                 thirdParty                        2026-10-03</w:t>
      </w:r>
    </w:p>
    <w:p>
      <w:pPr>
        <w:spacing w:after="0"/>
      </w:pPr>
      <w:r>
        <w:rPr>
          <w:rFonts w:ascii="Courier New" w:hAnsi="Courier New" w:cs="Courier New"/>
          <w:sz w:val="20"/>
        </w:rPr>
        <w:t xml:space="preserve">NRA-RF05 | FIU Typology 2: Foreign Currency Exchange ML       cash                              2026-10-03</w:t>
      </w:r>
    </w:p>
    <w:p>
      <w:pPr>
        <w:spacing w:after="0"/>
      </w:pPr>
      <w:r>
        <w:rPr>
          <w:rFonts w:ascii="Courier New" w:hAnsi="Courier New" w:cs="Courier New"/>
          <w:sz w:val="20"/>
        </w:rPr>
        <w:t xml:space="preserve">NRA-RF06 | FIU Typology 3: Gold/Cash Smuggling                cash, crossBorder                 2026-10-03</w:t>
      </w:r>
    </w:p>
    <w:p>
      <w:pPr>
        <w:spacing w:after="0"/>
      </w:pPr>
    </w:p>
    <w:p>
      <w:pPr>
        <w:spacing w:after="0"/>
      </w:pPr>
      <w:r>
        <w:rPr>
          <w:rFonts w:ascii="Courier New" w:hAnsi="Courier New" w:cs="Courier New"/>
          <w:sz w:val="20"/>
        </w:rPr>
        <w:t xml:space="preserve">ANALYTICAL COMMENTARY</w:t>
      </w:r>
    </w:p>
    <w:p>
      <w:pPr>
        <w:spacing w:after="0"/>
      </w:pPr>
    </w:p>
    <w:p>
      <w:pPr>
        <w:spacing w:after="0"/>
      </w:pPr>
      <w:r>
        <w:rPr>
          <w:rFonts w:ascii="Courier New" w:hAnsi="Courier New" w:cs="Courier New"/>
          <w:sz w:val="20"/>
        </w:rPr>
        <w:t xml:space="preserve">MADISON LLC, COMPLIANCE PROGRAMME 2026</w:t>
      </w:r>
    </w:p>
    <w:p>
      <w:pPr>
        <w:spacing w:after="0"/>
      </w:pPr>
    </w:p>
    <w:p>
      <w:pPr>
        <w:spacing w:after="0"/>
      </w:pPr>
      <w:r>
        <w:rPr>
          <w:rFonts w:ascii="Courier New" w:hAnsi="Courier New" w:cs="Courier New"/>
          <w:sz w:val="20"/>
        </w:rPr>
        <w:t xml:space="preserve">DAILY COMPLIANCE REPORT</w:t>
      </w:r>
    </w:p>
    <w:p>
      <w:pPr>
        <w:spacing w:after="0"/>
      </w:pPr>
    </w:p>
    <w:p>
      <w:pPr>
        <w:spacing w:after="0"/>
      </w:pPr>
      <w:r>
        <w:rPr>
          <w:rFonts w:ascii="Courier New" w:hAnsi="Courier New" w:cs="Courier New"/>
          <w:sz w:val="20"/>
        </w:rPr>
        <w:t xml:space="preserve">9 APRIL 2026</w:t>
      </w:r>
    </w:p>
    <w:p>
      <w:pPr>
        <w:spacing w:after="0"/>
      </w:pPr>
    </w:p>
    <w:p>
      <w:pPr>
        <w:spacing w:after="0"/>
      </w:pPr>
      <w:r>
        <w:rPr>
          <w:rFonts w:ascii="Courier New" w:hAnsi="Courier New" w:cs="Courier New"/>
          <w:sz w:val="20"/>
        </w:rPr>
        <w:t xml:space="preserve">STATE OF THE BOOK</w:t>
      </w:r>
    </w:p>
    <w:p>
      <w:pPr>
        <w:spacing w:after="0"/>
      </w:pPr>
    </w:p>
    <w:p>
      <w:pPr>
        <w:spacing w:after="0"/>
      </w:pPr>
      <w:r>
        <w:rPr>
          <w:rFonts w:ascii="Courier New" w:hAnsi="Courier New" w:cs="Courier New"/>
          <w:sz w:val="20"/>
        </w:rPr>
        <w:t xml:space="preserve">We hold 441 open items as of close of business today with no overdue matters and no items approaching the 48-hour threshold. No new items were raised in the last 24 hours and no items were closed. The compliance book remains in stable condition.</w:t>
      </w:r>
    </w:p>
    <w:p>
      <w:pPr>
        <w:spacing w:after="0"/>
      </w:pPr>
    </w:p>
    <w:p>
      <w:pPr>
        <w:spacing w:after="0"/>
      </w:pPr>
      <w:r>
        <w:rPr>
          <w:rFonts w:ascii="Courier New" w:hAnsi="Courier New" w:cs="Courier New"/>
          <w:sz w:val="20"/>
        </w:rPr>
        <w:t xml:space="preserve">TYPOLOGIES REQUIRING MLRO ATTENTION</w:t>
      </w:r>
    </w:p>
    <w:p>
      <w:pPr>
        <w:spacing w:after="0"/>
      </w:pPr>
    </w:p>
    <w:p>
      <w:pPr>
        <w:spacing w:after="0"/>
      </w:pPr>
      <w:r>
        <w:rPr>
          <w:rFonts w:ascii="Courier New" w:hAnsi="Courier New" w:cs="Courier New"/>
          <w:sz w:val="20"/>
        </w:rPr>
        <w:t xml:space="preserve">Cross-border transaction matches account for 92 items and represent the largest single category. Sanctions screening matches total 59 items. DPMSR cash threshold triggers number 30 items. Training compliance gaps account for 45 items across the business. These four typologies alone represent 226 of 441 open items and warrant prioritisation. The presence of red-flag items on the book today signals that at least one open item has been tagged as presenting elevated risk and requires expedited review. Secondary concern attaches to the 31 cash transaction matches, the 22 recycled gold sourcing items, and the 23 escalations routed to senior management. These typologies align with the geographic risk profile of the Emirates and the sourcing risks inherent in precious metals and stones dealing.</w:t>
      </w:r>
    </w:p>
    <w:p>
      <w:pPr>
        <w:spacing w:after="0"/>
      </w:pPr>
    </w:p>
    <w:p>
      <w:pPr>
        <w:spacing w:after="0"/>
      </w:pPr>
      <w:r>
        <w:rPr>
          <w:rFonts w:ascii="Courier New" w:hAnsi="Courier New" w:cs="Courier New"/>
          <w:sz w:val="20"/>
        </w:rPr>
        <w:t xml:space="preserve">NEXT ACTIONS</w:t>
      </w:r>
    </w:p>
    <w:p>
      <w:pPr>
        <w:spacing w:after="0"/>
      </w:pPr>
    </w:p>
    <w:p>
      <w:pPr>
        <w:spacing w:after="0"/>
      </w:pPr>
      <w:r>
        <w:rPr>
          <w:rFonts w:ascii="Courier New" w:hAnsi="Courier New" w:cs="Courier New"/>
          <w:sz w:val="20"/>
        </w:rPr>
        <w:t xml:space="preserve">Obtain from the operational teams a summary of the substantive grounds for the 92 cross-border matches by close of business tomorrow. Request the sanctions screening team to provide the MLRO with a red-flag item summary and recommended disposition by end of business today. Consolidate the 45 training gaps into a remediation schedule with completion dates and assign owners. Escalate to the MLRO for strategic review of the typology distribution and resource allocation within two business days.</w:t>
      </w:r>
    </w:p>
    <w:p>
      <w:pPr>
        <w:spacing w:after="0"/>
      </w:pPr>
    </w:p>
    <w:p>
      <w:pPr>
        <w:spacing w:after="0"/>
      </w:pPr>
      <w:r>
        <w:rPr>
          <w:rFonts w:ascii="Courier New" w:hAnsi="Courier New" w:cs="Courier New"/>
          <w:sz w:val="20"/>
        </w:rPr>
        <w:t xml:space="preserve">For review by the MLRO, LF.</w:t>
      </w:r>
    </w:p>
    <w:p>
      <w:pPr>
        <w:spacing w:after="0"/>
      </w:pPr>
    </w:p>
    <w:p>
      <w:pPr>
        <w:spacing w:after="0"/>
      </w:pPr>
      <w:r>
        <w:rPr>
          <w:rFonts w:ascii="Courier New" w:hAnsi="Courier New" w:cs="Courier New"/>
          <w:sz w:val="20"/>
        </w:rPr>
        <w:t xml:space="preserve">ITEMS REQUIRING MLRO DECISION BEFORE END OF DAY</w:t>
      </w:r>
    </w:p>
    <w:p>
      <w:pPr>
        <w:spacing w:after="0"/>
      </w:pPr>
    </w:p>
    <w:p>
      <w:pPr>
        <w:spacing w:after="0"/>
      </w:pPr>
      <w:r>
        <w:rPr>
          <w:rFonts w:ascii="Courier New" w:hAnsi="Courier New" w:cs="Courier New"/>
          <w:sz w:val="20"/>
        </w:rPr>
        <w:t xml:space="preserve">One or more items above are flagged for MLRO attention. The MLRO is asked to review the red-flag table and the overdue table and to direct the compliance function accordingly.</w:t>
      </w:r>
    </w:p>
    <w:p>
      <w:pPr>
        <w:spacing w:after="0"/>
      </w:pPr>
    </w:p>
    <w:p>
      <w:pPr>
        <w:spacing w:after="0"/>
      </w:pPr>
      <w:r>
        <w:rPr>
          <w:rFonts w:ascii="Courier New" w:hAnsi="Courier New" w:cs="Courier New"/>
          <w:sz w:val="20"/>
        </w:rPr>
        <w:t xml:space="preserve">-----------------------------------------------------------------------------</w:t>
      </w:r>
    </w:p>
    <w:p>
      <w:pPr>
        <w:spacing w:after="0"/>
      </w:pPr>
      <w:r>
        <w:rPr>
          <w:rFonts w:ascii="Courier New" w:hAnsi="Courier New" w:cs="Courier New"/>
          <w:sz w:val="20"/>
        </w:rPr>
        <w:t xml:space="preserve">DOCUMENT SIGN-OFF</w:t>
      </w:r>
    </w:p>
    <w:p>
      <w:pPr>
        <w:spacing w:after="0"/>
      </w:pPr>
      <w:r>
        <w:rPr>
          <w:rFonts w:ascii="Courier New" w:hAnsi="Courier New" w:cs="Courier New"/>
          <w:sz w:val="20"/>
        </w:rPr>
        <w:t xml:space="preserve">-----------------------------------------------------------------------------</w:t>
      </w:r>
    </w:p>
    <w:p>
      <w:pPr>
        <w:spacing w:after="0"/>
      </w:pPr>
    </w:p>
    <w:p>
      <w:pPr>
        <w:spacing w:after="0"/>
      </w:pPr>
      <w:r>
        <w:rPr>
          <w:rFonts w:ascii="Courier New" w:hAnsi="Courier New" w:cs="Courier New"/>
          <w:sz w:val="20"/>
        </w:rPr>
        <w:t xml:space="preserve">Prepared by:   Compliance function, the Reporting Entity</w:t>
      </w:r>
    </w:p>
    <w:p>
      <w:pPr>
        <w:spacing w:after="0"/>
      </w:pPr>
      <w:r>
        <w:rPr>
          <w:rFonts w:ascii="Courier New" w:hAnsi="Courier New" w:cs="Courier New"/>
          <w:sz w:val="20"/>
        </w:rPr>
        <w:t xml:space="preserve">Reviewed by:   [awaiting MLRO review]</w:t>
      </w:r>
    </w:p>
    <w:p>
      <w:pPr>
        <w:spacing w:after="0"/>
      </w:pPr>
      <w:r>
        <w:rPr>
          <w:rFonts w:ascii="Courier New" w:hAnsi="Courier New" w:cs="Courier New"/>
          <w:sz w:val="20"/>
        </w:rPr>
        <w:t xml:space="preserve">Approved by:   [awaiting MLRO approval]</w:t>
      </w:r>
    </w:p>
    <w:p>
      <w:pPr>
        <w:spacing w:after="0"/>
      </w:pPr>
    </w:p>
    <w:p>
      <w:pPr>
        <w:spacing w:after="0"/>
      </w:pPr>
      <w:r>
        <w:rPr>
          <w:rFonts w:ascii="Courier New" w:hAnsi="Courier New" w:cs="Courier New"/>
          <w:sz w:val="20"/>
        </w:rPr>
        <w:t xml:space="preserve">For review by the MLRO, LF.</w:t>
      </w:r>
    </w:p>
    <w:p>
      <w:pPr>
        <w:spacing w:after="0"/>
      </w:pPr>
    </w:p>
    <w:p>
      <w:pPr>
        <w:spacing w:after="0"/>
      </w:pPr>
      <w:r>
        <w:rPr>
          <w:rFonts w:ascii="Courier New" w:hAnsi="Courier New" w:cs="Courier New"/>
          <w:sz w:val="20"/>
        </w:rPr>
        <w:t xml:space="preserve">[End of document]</w:t>
      </w:r>
    </w:p>
    <w:sectPr>
      <w:pgSz w:w="12240" w:h="15840"/>
      <w:pgMar w:top="1080" w:right="1080" w:bottom="1080" w:left="1080" w:header="720" w:footer="720" w:gutter="0"/>
    </w:sectPr>
  </w:body>
</w:document>
</file>