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NAPLES LLC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HSV2-DER-2026-04-09-NAPLES_LLC_-_COMPLIA</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2026-04-09</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2026-04-09</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NAPLES LLC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441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134  </w:t>
      </w:r>
    </w:p>
    <w:p>
      <w:pPr>
        <w:spacing w:after="0"/>
      </w:pPr>
      <w:r>
        <w:rPr>
          <w:rFonts w:ascii="Courier New" w:hAnsi="Courier New" w:cs="Courier New"/>
          <w:sz w:val="20"/>
        </w:rPr>
        <w:t xml:space="preserve">sanctions             59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cash                  32   </w:t>
      </w:r>
    </w:p>
    <w:p>
      <w:pPr>
        <w:spacing w:after="0"/>
      </w:pPr>
      <w:r>
        <w:rPr>
          <w:rFonts w:ascii="Courier New" w:hAnsi="Courier New" w:cs="Courier New"/>
          <w:sz w:val="20"/>
        </w:rPr>
        <w:t xml:space="preserve">dpmsrTrigger          31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escalation            22   </w:t>
      </w:r>
    </w:p>
    <w:p>
      <w:pPr>
        <w:spacing w:after="0"/>
      </w:pPr>
      <w:r>
        <w:rPr>
          <w:rFonts w:ascii="Courier New" w:hAnsi="Courier New" w:cs="Courier New"/>
          <w:sz w:val="20"/>
        </w:rPr>
        <w:t xml:space="preserve">thirdParty            20   </w:t>
      </w:r>
    </w:p>
    <w:p>
      <w:pPr>
        <w:spacing w:after="0"/>
      </w:pPr>
      <w:r>
        <w:rPr>
          <w:rFonts w:ascii="Courier New" w:hAnsi="Courier New" w:cs="Courier New"/>
          <w:sz w:val="20"/>
        </w:rPr>
        <w:t xml:space="preserve">pep                   10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4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Task                                                          Typology flags                    Due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CDD-CRITICAL: VAT Compliance for Precious Metals (2026-04-  pep, dpmsrTrigger                 2026-10-03</w:t>
      </w:r>
    </w:p>
    <w:p>
      <w:pPr>
        <w:spacing w:after="0"/>
      </w:pPr>
      <w:r>
        <w:rPr>
          <w:rFonts w:ascii="Courier New" w:hAnsi="Courier New" w:cs="Courier New"/>
          <w:sz w:val="20"/>
        </w:rPr>
        <w:t xml:space="preserve">RF-R05 | Jewelry Scrap Aggregation Without CDD                cash, recycledGold, dpmsrTrigger  2026-10-03</w:t>
      </w:r>
    </w:p>
    <w:p>
      <w:pPr>
        <w:spacing w:after="0"/>
      </w:pPr>
      <w:r>
        <w:rPr>
          <w:rFonts w:ascii="Courier New" w:hAnsi="Courier New" w:cs="Courier New"/>
          <w:sz w:val="20"/>
        </w:rPr>
        <w:t xml:space="preserve">RF-R06 | Industrial Scrap Gold Processing                     sanctions, recycledGold           2026-10-03</w:t>
      </w:r>
    </w:p>
    <w:p>
      <w:pPr>
        <w:spacing w:after="0"/>
      </w:pPr>
      <w:r>
        <w:rPr>
          <w:rFonts w:ascii="Courier New" w:hAnsi="Courier New" w:cs="Courier New"/>
          <w:sz w:val="20"/>
        </w:rPr>
        <w:t xml:space="preserve">RF-R07 | Recycled Gold from Theft or Proceeds of Crime        recycledGold                      2026-10-03</w:t>
      </w:r>
    </w:p>
    <w:p>
      <w:pPr>
        <w:spacing w:after="0"/>
      </w:pPr>
      <w:r>
        <w:rPr>
          <w:rFonts w:ascii="Courier New" w:hAnsi="Courier New" w:cs="Courier New"/>
          <w:sz w:val="20"/>
        </w:rPr>
        <w:t xml:space="preserve">RF-R08 | Cross-Border Recycled Gold Smuggling                 crossBorder, recycledGold         2026-10-03</w:t>
      </w:r>
    </w:p>
    <w:p>
      <w:pPr>
        <w:spacing w:after="0"/>
      </w:pPr>
      <w:r>
        <w:rPr>
          <w:rFonts w:ascii="Courier New" w:hAnsi="Courier New" w:cs="Courier New"/>
          <w:sz w:val="20"/>
        </w:rPr>
        <w:t xml:space="preserve">RF-R09 | Recycled Material CDD Exemption Abuse                recycledGold, cddGap              2026-10-03</w:t>
      </w:r>
    </w:p>
    <w:p>
      <w:pPr>
        <w:spacing w:after="0"/>
      </w:pPr>
      <w:r>
        <w:rPr>
          <w:rFonts w:ascii="Courier New" w:hAnsi="Courier New" w:cs="Courier New"/>
          <w:sz w:val="20"/>
        </w:rPr>
        <w:t xml:space="preserve">RF-R10 | Gold-for-Cash Schemes via Recycled Material          cash, recycledGold, thirdParty    2026-10-03</w:t>
      </w:r>
    </w:p>
    <w:p>
      <w:pPr>
        <w:spacing w:after="0"/>
      </w:pPr>
      <w:r>
        <w:rPr>
          <w:rFonts w:ascii="Courier New" w:hAnsi="Courier New" w:cs="Courier New"/>
          <w:sz w:val="20"/>
        </w:rPr>
        <w:t xml:space="preserve">RF-R11 | Recycled Gold Purity and Assay Manipulation          recycledGold                      2026-10-03</w:t>
      </w:r>
    </w:p>
    <w:p>
      <w:pPr>
        <w:spacing w:after="0"/>
      </w:pPr>
      <w:r>
        <w:rPr>
          <w:rFonts w:ascii="Courier New" w:hAnsi="Courier New" w:cs="Courier New"/>
          <w:sz w:val="20"/>
        </w:rPr>
        <w:t xml:space="preserve">RF-R12 | Recycled Gold from Sanctioned Entities               sanctions, recycledGold           2026-10-03</w:t>
      </w:r>
    </w:p>
    <w:p>
      <w:pPr>
        <w:spacing w:after="0"/>
      </w:pPr>
      <w:r>
        <w:rPr>
          <w:rFonts w:ascii="Courier New" w:hAnsi="Courier New" w:cs="Courier New"/>
          <w:sz w:val="20"/>
        </w:rPr>
        <w:t xml:space="preserve">RF-R14 | Recycled Gold from Conflict/Looted Sources           recycledGold                      2026-10-03</w:t>
      </w:r>
    </w:p>
    <w:p>
      <w:pPr>
        <w:spacing w:after="0"/>
      </w:pPr>
      <w:r>
        <w:rPr>
          <w:rFonts w:ascii="Courier New" w:hAnsi="Courier New" w:cs="Courier New"/>
          <w:sz w:val="20"/>
        </w:rPr>
        <w:t xml:space="preserve">RF-R15 | Recycling Facility Due Diligence Gaps                recycledGold                      2026-10-03</w:t>
      </w:r>
    </w:p>
    <w:p>
      <w:pPr>
        <w:spacing w:after="0"/>
      </w:pPr>
      <w:r>
        <w:rPr>
          <w:rFonts w:ascii="Courier New" w:hAnsi="Courier New" w:cs="Courier New"/>
          <w:sz w:val="20"/>
        </w:rPr>
        <w:t xml:space="preserve">RF-R16 | Old Gold and Inherited Gold Verification             recycledGold                      2026-10-03</w:t>
      </w:r>
    </w:p>
    <w:p>
      <w:pPr>
        <w:spacing w:after="0"/>
      </w:pPr>
      <w:r>
        <w:rPr>
          <w:rFonts w:ascii="Courier New" w:hAnsi="Courier New" w:cs="Courier New"/>
          <w:sz w:val="20"/>
        </w:rPr>
        <w:t xml:space="preserve">RF-R17 | Recycled Gold as Hawala Alternative                  crossBorder, recycledGold         2026-10-03</w:t>
      </w:r>
    </w:p>
    <w:p>
      <w:pPr>
        <w:spacing w:after="0"/>
      </w:pPr>
      <w:r>
        <w:rPr>
          <w:rFonts w:ascii="Courier New" w:hAnsi="Courier New" w:cs="Courier New"/>
          <w:sz w:val="20"/>
        </w:rPr>
        <w:t xml:space="preserve">RF-R18 | Dental and Medical Gold Recycling Anomalies          recycledGold                      2026-10-03</w:t>
      </w:r>
    </w:p>
    <w:p>
      <w:pPr>
        <w:spacing w:after="0"/>
      </w:pPr>
      <w:r>
        <w:rPr>
          <w:rFonts w:ascii="Courier New" w:hAnsi="Courier New" w:cs="Courier New"/>
          <w:sz w:val="20"/>
        </w:rPr>
        <w:t xml:space="preserve">RF-R19 | Recycled Gold Documentation Gaps                     recycledGold                      2026-10-03</w:t>
      </w:r>
    </w:p>
    <w:p>
      <w:pPr>
        <w:spacing w:after="0"/>
      </w:pPr>
      <w:r>
        <w:rPr>
          <w:rFonts w:ascii="Courier New" w:hAnsi="Courier New" w:cs="Courier New"/>
          <w:sz w:val="20"/>
        </w:rPr>
        <w:t xml:space="preserve">NRA-RF01 | NRA: High Cash Intensity Patterns                  cash                              2026-10-03</w:t>
      </w:r>
    </w:p>
    <w:p>
      <w:pPr>
        <w:spacing w:after="0"/>
      </w:pPr>
      <w:r>
        <w:rPr>
          <w:rFonts w:ascii="Courier New" w:hAnsi="Courier New" w:cs="Courier New"/>
          <w:sz w:val="20"/>
        </w:rPr>
        <w:t xml:space="preserve">NRA-RF02 | NRA: Cross-Border Trade Exploitation               cash, crossBorder                 2026-10-03</w:t>
      </w:r>
    </w:p>
    <w:p>
      <w:pPr>
        <w:spacing w:after="0"/>
      </w:pPr>
      <w:r>
        <w:rPr>
          <w:rFonts w:ascii="Courier New" w:hAnsi="Courier New" w:cs="Courier New"/>
          <w:sz w:val="20"/>
        </w:rPr>
        <w:t xml:space="preserve">NRA-RF04 | FIU Typology 1: TBML in Gold Trade                 thirdParty                        2026-10-03</w:t>
      </w:r>
    </w:p>
    <w:p>
      <w:pPr>
        <w:spacing w:after="0"/>
      </w:pPr>
      <w:r>
        <w:rPr>
          <w:rFonts w:ascii="Courier New" w:hAnsi="Courier New" w:cs="Courier New"/>
          <w:sz w:val="20"/>
        </w:rPr>
        <w:t xml:space="preserve">NRA-RF05 | FIU Typology 2: Foreign Currency Exchange ML       cash                              2026-10-03</w:t>
      </w:r>
    </w:p>
    <w:p>
      <w:pPr>
        <w:spacing w:after="0"/>
      </w:pPr>
      <w:r>
        <w:rPr>
          <w:rFonts w:ascii="Courier New" w:hAnsi="Courier New" w:cs="Courier New"/>
          <w:sz w:val="20"/>
        </w:rPr>
        <w:t xml:space="preserve">NRA-RF06 | FIU Typology 3: Gold/Cash Smuggling                cash, crossBorder                 2026-10-03</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NAPLES LLC COMPLIANCE PROGRAMME 2026</w:t>
      </w:r>
    </w:p>
    <w:p>
      <w:pPr>
        <w:spacing w:after="0"/>
      </w:pPr>
    </w:p>
    <w:p>
      <w:pPr>
        <w:spacing w:after="0"/>
      </w:pPr>
      <w:r>
        <w:rPr>
          <w:rFonts w:ascii="Courier New" w:hAnsi="Courier New" w:cs="Courier New"/>
          <w:sz w:val="20"/>
        </w:rPr>
        <w:t xml:space="preserve">DAILY COMPLIANCE REPORT</w:t>
      </w:r>
    </w:p>
    <w:p>
      <w:pPr>
        <w:spacing w:after="0"/>
      </w:pPr>
    </w:p>
    <w:p>
      <w:pPr>
        <w:spacing w:after="0"/>
      </w:pPr>
      <w:r>
        <w:rPr>
          <w:rFonts w:ascii="Courier New" w:hAnsi="Courier New" w:cs="Courier New"/>
          <w:sz w:val="20"/>
        </w:rPr>
        <w:t xml:space="preserve">2026-04-09</w:t>
      </w:r>
    </w:p>
    <w:p>
      <w:pPr>
        <w:spacing w:after="0"/>
      </w:pPr>
    </w:p>
    <w:p>
      <w:pPr>
        <w:spacing w:after="0"/>
      </w:pPr>
      <w:r>
        <w:rPr>
          <w:rFonts w:ascii="Courier New" w:hAnsi="Courier New" w:cs="Courier New"/>
          <w:sz w:val="20"/>
        </w:rPr>
        <w:t xml:space="preserve">STATE OF THE BOOK</w:t>
      </w:r>
    </w:p>
    <w:p>
      <w:pPr>
        <w:spacing w:after="0"/>
      </w:pPr>
    </w:p>
    <w:p>
      <w:pPr>
        <w:spacing w:after="0"/>
      </w:pPr>
      <w:r>
        <w:rPr>
          <w:rFonts w:ascii="Courier New" w:hAnsi="Courier New" w:cs="Courier New"/>
          <w:sz w:val="20"/>
        </w:rPr>
        <w:t xml:space="preserve">We hold 441 open items in our compliance workflow as of close of business today. There are no overdue items, no items at risk of breaching their due dates within 48 hours, and no new items raised or completed in the last 24 hours. The programme remains in steady state.</w:t>
      </w:r>
    </w:p>
    <w:p>
      <w:pPr>
        <w:spacing w:after="0"/>
      </w:pPr>
    </w:p>
    <w:p>
      <w:pPr>
        <w:spacing w:after="0"/>
      </w:pPr>
      <w:r>
        <w:rPr>
          <w:rFonts w:ascii="Courier New" w:hAnsi="Courier New" w:cs="Courier New"/>
          <w:sz w:val="20"/>
        </w:rPr>
        <w:t xml:space="preserve">TYPOLOGIES REQUIRING MLRO ATTENTION</w:t>
      </w:r>
    </w:p>
    <w:p>
      <w:pPr>
        <w:spacing w:after="0"/>
      </w:pPr>
    </w:p>
    <w:p>
      <w:pPr>
        <w:spacing w:after="0"/>
      </w:pPr>
      <w:r>
        <w:rPr>
          <w:rFonts w:ascii="Courier New" w:hAnsi="Courier New" w:cs="Courier New"/>
          <w:sz w:val="20"/>
        </w:rPr>
        <w:t xml:space="preserve">We generated 403 typology matches across our portfolio today. The cross-border transaction typology dominates at 134 matches, reflecting the international nature of our client base and the heightened scrutiny required under the applicable provision of Federal Decree-Law No. 10 of 2025. Sanctions screening returned 59 matches, politically exposed person screening returned 10 matches, and high-risk jurisdiction screening returned 10 matches. These three categories together account for 79 sanctions-related flags and require immediate clearance or escalation.</w:t>
      </w:r>
    </w:p>
    <w:p>
      <w:pPr>
        <w:spacing w:after="0"/>
      </w:pPr>
    </w:p>
    <w:p>
      <w:pPr>
        <w:spacing w:after="0"/>
      </w:pPr>
      <w:r>
        <w:rPr>
          <w:rFonts w:ascii="Courier New" w:hAnsi="Courier New" w:cs="Courier New"/>
          <w:sz w:val="20"/>
        </w:rPr>
        <w:t xml:space="preserve">Cash transaction typology generated 32 matches against historical baselines. The DPMSR trigger rule fired 31 times, indicating transactions at or near the cash transaction threshold specified by the DPMSR framework. Recycled gold typology matched 22 items, precious stones matched 1 item, and unusual pattern analysis detected 4 items. Training compliance gaps were identified in 44 cases, and 22 escalations were raised on other grounds. The presence of red-flag items in our current portfolio confirms that heightened due diligence is active across our operations.</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Clear all 79 sanctions-related matches through the applicable targeted financial sanctions framework by end of business tomorrow. Assign owner review responsibility for the 22 escalated items and produce a written assessment within 48 hours. Prioritise the 32 cash transaction matches and the 31 DPMSR-triggered items for Enhanced Due Diligence documentation refresh. Confirm completion of the 44 training gaps and document remediation evidence in the training record log.</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