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MONITORING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HSV2-TXM-2026-04-07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run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processed 0 transaction(s) from the transaction register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Each transaction was tested against eight rule-based detection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plus a rolling thirty-day cash aggregation check per counterparty.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DETECTION RULES APPLIED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DPMSR trigger: cash component at or above the reporting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Structuring indicator: cash component just below the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Round amount: total consideration is a round figure (AED 10k increments).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High-risk jurisdiction: counterparty or transaction linked to a FATF grey-list or sanctioned jurisdiction.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All-cash settlement: entire transaction settled in cash above AED 15,000.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6. Same-day aggregation: multiple transactions with the same counterparty on the same day exceeding the threshold in aggregate.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7. Rapid frequency: three or more transactions with the same counterparty within seven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8. Unusual payment method: hawala, cryptocurrency, virtual currency, bearer instrument.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9. Rolling thirty-day aggregation: cumulative cash across all transactions with the same counterparty over any thirty-day window.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transactions processed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Transactions flagged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30-day alerts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distinct alerts  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ALERTS BY RULE TYPE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 triggered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alerts. File this monitoring record. Repeat tomorrow.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