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DAILY COMPLIANCE REPORT</w:t>
      </w:r>
    </w:p>
    <w:p>
      <w:pPr>
        <w:spacing w:after="0"/>
      </w:pPr>
      <w:r>
        <w:rPr>
          <w:rFonts w:ascii="Courier New" w:hAnsi="Courier New" w:cs="Courier New"/>
          <w:sz w:val="20"/>
        </w:rPr>
        <w:t xml:space="preserve">FG BRANCH - COMPLIANCE PROGRAMME 2026</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HSV2-DER-2026-04-10-FG_BRANCH_-_COMPLIAN</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2026-04-10</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Operational day ending 2026-04-10</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ENTITY IDENTIFICATION</w:t>
      </w:r>
    </w:p>
    <w:p>
      <w:pPr>
        <w:spacing w:after="0"/>
      </w:pPr>
    </w:p>
    <w:p>
      <w:pPr>
        <w:spacing w:after="0"/>
      </w:pPr>
      <w:r>
        <w:rPr>
          <w:rFonts w:ascii="Courier New" w:hAnsi="Courier New" w:cs="Courier New"/>
          <w:sz w:val="20"/>
        </w:rPr>
        <w:t xml:space="preserve">Reporting entity: FG BRANCH - COMPLIANCE PROGRAMME 2026</w:t>
      </w:r>
    </w:p>
    <w:p>
      <w:pPr>
        <w:spacing w:after="0"/>
      </w:pPr>
      <w:r>
        <w:rPr>
          <w:rFonts w:ascii="Courier New" w:hAnsi="Courier New" w:cs="Courier New"/>
          <w:sz w:val="20"/>
        </w:rPr>
        <w:t xml:space="preserve">Sector: Dealer in Precious Metals and Stones (DPMS)</w:t>
      </w:r>
    </w:p>
    <w:p>
      <w:pPr>
        <w:spacing w:after="0"/>
      </w:pPr>
      <w:r>
        <w:rPr>
          <w:rFonts w:ascii="Courier New" w:hAnsi="Courier New" w:cs="Courier New"/>
          <w:sz w:val="20"/>
        </w:rPr>
        <w:t xml:space="preserve">Classification: Designated Non-Financial Business and Profession (DNFBP)</w:t>
      </w:r>
    </w:p>
    <w:p>
      <w:pPr>
        <w:spacing w:after="0"/>
      </w:pPr>
      <w:r>
        <w:rPr>
          <w:rFonts w:ascii="Courier New" w:hAnsi="Courier New" w:cs="Courier New"/>
          <w:sz w:val="20"/>
        </w:rPr>
        <w:t xml:space="preserve">Supervisor: Ministry of Economy (MOE)</w:t>
      </w:r>
    </w:p>
    <w:p>
      <w:pPr>
        <w:spacing w:after="0"/>
      </w:pPr>
    </w:p>
    <w:p>
      <w:pPr>
        <w:spacing w:after="0"/>
      </w:pPr>
      <w:r>
        <w:rPr>
          <w:rFonts w:ascii="Courier New" w:hAnsi="Courier New" w:cs="Courier New"/>
          <w:sz w:val="20"/>
        </w:rPr>
        <w:t xml:space="preserve">OPEN EXPOSURE SNAPSHOT</w:t>
      </w:r>
    </w:p>
    <w:p>
      <w:pPr>
        <w:spacing w:after="0"/>
      </w:pPr>
    </w:p>
    <w:p>
      <w:pPr>
        <w:spacing w:after="0"/>
      </w:pPr>
      <w:r>
        <w:rPr>
          <w:rFonts w:ascii="Courier New" w:hAnsi="Courier New" w:cs="Courier New"/>
          <w:sz w:val="20"/>
        </w:rPr>
        <w:t xml:space="preserve">Metric               Count</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Open items           441  </w:t>
      </w:r>
    </w:p>
    <w:p>
      <w:pPr>
        <w:spacing w:after="0"/>
      </w:pPr>
      <w:r>
        <w:rPr>
          <w:rFonts w:ascii="Courier New" w:hAnsi="Courier New" w:cs="Courier New"/>
          <w:sz w:val="20"/>
        </w:rPr>
        <w:t xml:space="preserve">Overdue items        0    </w:t>
      </w:r>
    </w:p>
    <w:p>
      <w:pPr>
        <w:spacing w:after="0"/>
      </w:pPr>
      <w:r>
        <w:rPr>
          <w:rFonts w:ascii="Courier New" w:hAnsi="Courier New" w:cs="Courier New"/>
          <w:sz w:val="20"/>
        </w:rPr>
        <w:t xml:space="preserve">At-risk items (48h)  0    </w:t>
      </w:r>
    </w:p>
    <w:p>
      <w:pPr>
        <w:spacing w:after="0"/>
      </w:pPr>
      <w:r>
        <w:rPr>
          <w:rFonts w:ascii="Courier New" w:hAnsi="Courier New" w:cs="Courier New"/>
          <w:sz w:val="20"/>
        </w:rPr>
        <w:t xml:space="preserve">Closed in last 24h   0    </w:t>
      </w:r>
    </w:p>
    <w:p>
      <w:pPr>
        <w:spacing w:after="0"/>
      </w:pPr>
      <w:r>
        <w:rPr>
          <w:rFonts w:ascii="Courier New" w:hAnsi="Courier New" w:cs="Courier New"/>
          <w:sz w:val="20"/>
        </w:rPr>
        <w:t xml:space="preserve">New in last 24h      0    </w:t>
      </w:r>
    </w:p>
    <w:p>
      <w:pPr>
        <w:spacing w:after="0"/>
      </w:pPr>
    </w:p>
    <w:p>
      <w:pPr>
        <w:spacing w:after="0"/>
      </w:pPr>
      <w:r>
        <w:rPr>
          <w:rFonts w:ascii="Courier New" w:hAnsi="Courier New" w:cs="Courier New"/>
          <w:sz w:val="20"/>
        </w:rPr>
        <w:t xml:space="preserve">TYPOLOGY DISTRIBUTION TODAY</w:t>
      </w:r>
    </w:p>
    <w:p>
      <w:pPr>
        <w:spacing w:after="0"/>
      </w:pPr>
    </w:p>
    <w:p>
      <w:pPr>
        <w:spacing w:after="0"/>
      </w:pPr>
      <w:r>
        <w:rPr>
          <w:rFonts w:ascii="Courier New" w:hAnsi="Courier New" w:cs="Courier New"/>
          <w:sz w:val="20"/>
        </w:rPr>
        <w:t xml:space="preserve">Typology              Tasks</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crossBorder           96   </w:t>
      </w:r>
    </w:p>
    <w:p>
      <w:pPr>
        <w:spacing w:after="0"/>
      </w:pPr>
      <w:r>
        <w:rPr>
          <w:rFonts w:ascii="Courier New" w:hAnsi="Courier New" w:cs="Courier New"/>
          <w:sz w:val="20"/>
        </w:rPr>
        <w:t xml:space="preserve">sanctions             60   </w:t>
      </w:r>
    </w:p>
    <w:p>
      <w:pPr>
        <w:spacing w:after="0"/>
      </w:pPr>
      <w:r>
        <w:rPr>
          <w:rFonts w:ascii="Courier New" w:hAnsi="Courier New" w:cs="Courier New"/>
          <w:sz w:val="20"/>
        </w:rPr>
        <w:t xml:space="preserve">training              44   </w:t>
      </w:r>
    </w:p>
    <w:p>
      <w:pPr>
        <w:spacing w:after="0"/>
      </w:pPr>
      <w:r>
        <w:rPr>
          <w:rFonts w:ascii="Courier New" w:hAnsi="Courier New" w:cs="Courier New"/>
          <w:sz w:val="20"/>
        </w:rPr>
        <w:t xml:space="preserve">dpmsrTrigger          32   </w:t>
      </w:r>
    </w:p>
    <w:p>
      <w:pPr>
        <w:spacing w:after="0"/>
      </w:pPr>
      <w:r>
        <w:rPr>
          <w:rFonts w:ascii="Courier New" w:hAnsi="Courier New" w:cs="Courier New"/>
          <w:sz w:val="20"/>
        </w:rPr>
        <w:t xml:space="preserve">cash                  31   </w:t>
      </w:r>
    </w:p>
    <w:p>
      <w:pPr>
        <w:spacing w:after="0"/>
      </w:pPr>
      <w:r>
        <w:rPr>
          <w:rFonts w:ascii="Courier New" w:hAnsi="Courier New" w:cs="Courier New"/>
          <w:sz w:val="20"/>
        </w:rPr>
        <w:t xml:space="preserve">escalation            24   </w:t>
      </w:r>
    </w:p>
    <w:p>
      <w:pPr>
        <w:spacing w:after="0"/>
      </w:pPr>
      <w:r>
        <w:rPr>
          <w:rFonts w:ascii="Courier New" w:hAnsi="Courier New" w:cs="Courier New"/>
          <w:sz w:val="20"/>
        </w:rPr>
        <w:t xml:space="preserve">recycledGold          23   </w:t>
      </w:r>
    </w:p>
    <w:p>
      <w:pPr>
        <w:spacing w:after="0"/>
      </w:pPr>
      <w:r>
        <w:rPr>
          <w:rFonts w:ascii="Courier New" w:hAnsi="Courier New" w:cs="Courier New"/>
          <w:sz w:val="20"/>
        </w:rPr>
        <w:t xml:space="preserve">thirdParty            19   </w:t>
      </w:r>
    </w:p>
    <w:p>
      <w:pPr>
        <w:spacing w:after="0"/>
      </w:pPr>
      <w:r>
        <w:rPr>
          <w:rFonts w:ascii="Courier New" w:hAnsi="Courier New" w:cs="Courier New"/>
          <w:sz w:val="20"/>
        </w:rPr>
        <w:t xml:space="preserve">highRiskJurisdiction  10   </w:t>
      </w:r>
    </w:p>
    <w:p>
      <w:pPr>
        <w:spacing w:after="0"/>
      </w:pPr>
      <w:r>
        <w:rPr>
          <w:rFonts w:ascii="Courier New" w:hAnsi="Courier New" w:cs="Courier New"/>
          <w:sz w:val="20"/>
        </w:rPr>
        <w:t xml:space="preserve">pep                   9    </w:t>
      </w:r>
    </w:p>
    <w:p>
      <w:pPr>
        <w:spacing w:after="0"/>
      </w:pPr>
      <w:r>
        <w:rPr>
          <w:rFonts w:ascii="Courier New" w:hAnsi="Courier New" w:cs="Courier New"/>
          <w:sz w:val="20"/>
        </w:rPr>
        <w:t xml:space="preserve">cddGap                8    </w:t>
      </w:r>
    </w:p>
    <w:p>
      <w:pPr>
        <w:spacing w:after="0"/>
      </w:pPr>
      <w:r>
        <w:rPr>
          <w:rFonts w:ascii="Courier New" w:hAnsi="Courier New" w:cs="Courier New"/>
          <w:sz w:val="20"/>
        </w:rPr>
        <w:t xml:space="preserve">unusualPattern        5    </w:t>
      </w:r>
    </w:p>
    <w:p>
      <w:pPr>
        <w:spacing w:after="0"/>
      </w:pPr>
      <w:r>
        <w:rPr>
          <w:rFonts w:ascii="Courier New" w:hAnsi="Courier New" w:cs="Courier New"/>
          <w:sz w:val="20"/>
        </w:rPr>
        <w:t xml:space="preserve">stalled               1    </w:t>
      </w:r>
    </w:p>
    <w:p>
      <w:pPr>
        <w:spacing w:after="0"/>
      </w:pPr>
      <w:r>
        <w:rPr>
          <w:rFonts w:ascii="Courier New" w:hAnsi="Courier New" w:cs="Courier New"/>
          <w:sz w:val="20"/>
        </w:rPr>
        <w:t xml:space="preserve">preciousStones        1    </w:t>
      </w:r>
    </w:p>
    <w:p>
      <w:pPr>
        <w:spacing w:after="0"/>
      </w:pPr>
    </w:p>
    <w:p>
      <w:pPr>
        <w:spacing w:after="0"/>
      </w:pPr>
      <w:r>
        <w:rPr>
          <w:rFonts w:ascii="Courier New" w:hAnsi="Courier New" w:cs="Courier New"/>
          <w:sz w:val="20"/>
        </w:rPr>
        <w:t xml:space="preserve">OVERDUE ITEMS REQUIRING ATTENTION</w:t>
      </w:r>
    </w:p>
    <w:p>
      <w:pPr>
        <w:spacing w:after="0"/>
      </w:pPr>
    </w:p>
    <w:p>
      <w:pPr>
        <w:spacing w:after="0"/>
      </w:pPr>
      <w:r>
        <w:rPr>
          <w:rFonts w:ascii="Courier New" w:hAnsi="Courier New" w:cs="Courier New"/>
          <w:sz w:val="20"/>
        </w:rPr>
        <w:t xml:space="preserve">(no overdue items)</w:t>
      </w:r>
    </w:p>
    <w:p>
      <w:pPr>
        <w:spacing w:after="0"/>
      </w:pPr>
    </w:p>
    <w:p>
      <w:pPr>
        <w:spacing w:after="0"/>
      </w:pPr>
      <w:r>
        <w:rPr>
          <w:rFonts w:ascii="Courier New" w:hAnsi="Courier New" w:cs="Courier New"/>
          <w:sz w:val="20"/>
        </w:rPr>
        <w:t xml:space="preserve">RED-FLAG ITEMS RAISED OR OPEN</w:t>
      </w:r>
    </w:p>
    <w:p>
      <w:pPr>
        <w:spacing w:after="0"/>
      </w:pPr>
    </w:p>
    <w:p>
      <w:pPr>
        <w:spacing w:after="0"/>
      </w:pPr>
      <w:r>
        <w:rPr>
          <w:rFonts w:ascii="Courier New" w:hAnsi="Courier New" w:cs="Courier New"/>
          <w:sz w:val="20"/>
        </w:rPr>
        <w:t xml:space="preserve">Task                                                     Typology flags                    Due       </w:t>
      </w:r>
    </w:p>
    <w:p>
      <w:pPr>
        <w:spacing w:after="0"/>
      </w:pPr>
      <w:r>
        <w:rPr>
          <w:rFonts w:ascii="Courier New" w:hAnsi="Courier New" w:cs="Courier New"/>
          <w:sz w:val="20"/>
        </w:rPr>
        <w:t xml:space="preserve">-------------------------------------------------------  --------------------------------  ----------</w:t>
      </w:r>
    </w:p>
    <w:p>
      <w:pPr>
        <w:spacing w:after="0"/>
      </w:pPr>
      <w:r>
        <w:rPr>
          <w:rFonts w:ascii="Courier New" w:hAnsi="Courier New" w:cs="Courier New"/>
          <w:sz w:val="20"/>
        </w:rPr>
        <w:t xml:space="preserve">RF-R05 | Jewelry Scrap Aggregation Without CDD           cash, recycledGold, dpmsrTrigger  2026-10-03</w:t>
      </w:r>
    </w:p>
    <w:p>
      <w:pPr>
        <w:spacing w:after="0"/>
      </w:pPr>
      <w:r>
        <w:rPr>
          <w:rFonts w:ascii="Courier New" w:hAnsi="Courier New" w:cs="Courier New"/>
          <w:sz w:val="20"/>
        </w:rPr>
        <w:t xml:space="preserve">RF-R06 | Industrial Scrap Gold Processing                sanctions, recycledGold           2026-10-03</w:t>
      </w:r>
    </w:p>
    <w:p>
      <w:pPr>
        <w:spacing w:after="0"/>
      </w:pPr>
      <w:r>
        <w:rPr>
          <w:rFonts w:ascii="Courier New" w:hAnsi="Courier New" w:cs="Courier New"/>
          <w:sz w:val="20"/>
        </w:rPr>
        <w:t xml:space="preserve">RF-R07 | Recycled Gold from Theft or Proceeds of Crime   recycledGold                      2026-10-03</w:t>
      </w:r>
    </w:p>
    <w:p>
      <w:pPr>
        <w:spacing w:after="0"/>
      </w:pPr>
      <w:r>
        <w:rPr>
          <w:rFonts w:ascii="Courier New" w:hAnsi="Courier New" w:cs="Courier New"/>
          <w:sz w:val="20"/>
        </w:rPr>
        <w:t xml:space="preserve">RF-R08 | Cross-Border Recycled Gold Smuggling            crossBorder, recycledGold         2026-10-03</w:t>
      </w:r>
    </w:p>
    <w:p>
      <w:pPr>
        <w:spacing w:after="0"/>
      </w:pPr>
      <w:r>
        <w:rPr>
          <w:rFonts w:ascii="Courier New" w:hAnsi="Courier New" w:cs="Courier New"/>
          <w:sz w:val="20"/>
        </w:rPr>
        <w:t xml:space="preserve">RF-R09 | Recycled Material CDD Exemption Abuse           recycledGold, cddGap              2026-10-03</w:t>
      </w:r>
    </w:p>
    <w:p>
      <w:pPr>
        <w:spacing w:after="0"/>
      </w:pPr>
      <w:r>
        <w:rPr>
          <w:rFonts w:ascii="Courier New" w:hAnsi="Courier New" w:cs="Courier New"/>
          <w:sz w:val="20"/>
        </w:rPr>
        <w:t xml:space="preserve">RF-R10 | Gold-for-Cash Schemes via Recycled Material     cash, recycledGold, thirdParty    2026-10-03</w:t>
      </w:r>
    </w:p>
    <w:p>
      <w:pPr>
        <w:spacing w:after="0"/>
      </w:pPr>
      <w:r>
        <w:rPr>
          <w:rFonts w:ascii="Courier New" w:hAnsi="Courier New" w:cs="Courier New"/>
          <w:sz w:val="20"/>
        </w:rPr>
        <w:t xml:space="preserve">RF-R11 | Recycled Gold Purity and Assay Manipulation     recycledGold                      2026-10-03</w:t>
      </w:r>
    </w:p>
    <w:p>
      <w:pPr>
        <w:spacing w:after="0"/>
      </w:pPr>
      <w:r>
        <w:rPr>
          <w:rFonts w:ascii="Courier New" w:hAnsi="Courier New" w:cs="Courier New"/>
          <w:sz w:val="20"/>
        </w:rPr>
        <w:t xml:space="preserve">RF-R12 | Recycled Gold from Sanctioned Entities          sanctions, recycledGold           2026-10-03</w:t>
      </w:r>
    </w:p>
    <w:p>
      <w:pPr>
        <w:spacing w:after="0"/>
      </w:pPr>
      <w:r>
        <w:rPr>
          <w:rFonts w:ascii="Courier New" w:hAnsi="Courier New" w:cs="Courier New"/>
          <w:sz w:val="20"/>
        </w:rPr>
        <w:t xml:space="preserve">RF-R14 | Recycled Gold from Conflict/Looted Sources      recycledGold                      2026-10-03</w:t>
      </w:r>
    </w:p>
    <w:p>
      <w:pPr>
        <w:spacing w:after="0"/>
      </w:pPr>
      <w:r>
        <w:rPr>
          <w:rFonts w:ascii="Courier New" w:hAnsi="Courier New" w:cs="Courier New"/>
          <w:sz w:val="20"/>
        </w:rPr>
        <w:t xml:space="preserve">RF-R15 | Recycling Facility Due Diligence Gaps           recycledGold                      2026-10-03</w:t>
      </w:r>
    </w:p>
    <w:p>
      <w:pPr>
        <w:spacing w:after="0"/>
      </w:pPr>
      <w:r>
        <w:rPr>
          <w:rFonts w:ascii="Courier New" w:hAnsi="Courier New" w:cs="Courier New"/>
          <w:sz w:val="20"/>
        </w:rPr>
        <w:t xml:space="preserve">RF-R16 | Old Gold and Inherited Gold Verification        recycledGold                      2026-10-03</w:t>
      </w:r>
    </w:p>
    <w:p>
      <w:pPr>
        <w:spacing w:after="0"/>
      </w:pPr>
      <w:r>
        <w:rPr>
          <w:rFonts w:ascii="Courier New" w:hAnsi="Courier New" w:cs="Courier New"/>
          <w:sz w:val="20"/>
        </w:rPr>
        <w:t xml:space="preserve">RF-R17 | Recycled Gold as Hawala Alternative             crossBorder, recycledGold         2026-10-03</w:t>
      </w:r>
    </w:p>
    <w:p>
      <w:pPr>
        <w:spacing w:after="0"/>
      </w:pPr>
      <w:r>
        <w:rPr>
          <w:rFonts w:ascii="Courier New" w:hAnsi="Courier New" w:cs="Courier New"/>
          <w:sz w:val="20"/>
        </w:rPr>
        <w:t xml:space="preserve">RF-R18 | Dental and Medical Gold Recycling Anomalies     recycledGold                      2026-10-03</w:t>
      </w:r>
    </w:p>
    <w:p>
      <w:pPr>
        <w:spacing w:after="0"/>
      </w:pPr>
      <w:r>
        <w:rPr>
          <w:rFonts w:ascii="Courier New" w:hAnsi="Courier New" w:cs="Courier New"/>
          <w:sz w:val="20"/>
        </w:rPr>
        <w:t xml:space="preserve">RF-R19 | Recycled Gold Documentation Gaps                recycledGold                      2026-10-03</w:t>
      </w:r>
    </w:p>
    <w:p>
      <w:pPr>
        <w:spacing w:after="0"/>
      </w:pPr>
      <w:r>
        <w:rPr>
          <w:rFonts w:ascii="Courier New" w:hAnsi="Courier New" w:cs="Courier New"/>
          <w:sz w:val="20"/>
        </w:rPr>
        <w:t xml:space="preserve">NRA-RF01 | NRA: High Cash Intensity Patterns             cash                              2026-10-03</w:t>
      </w:r>
    </w:p>
    <w:p>
      <w:pPr>
        <w:spacing w:after="0"/>
      </w:pPr>
      <w:r>
        <w:rPr>
          <w:rFonts w:ascii="Courier New" w:hAnsi="Courier New" w:cs="Courier New"/>
          <w:sz w:val="20"/>
        </w:rPr>
        <w:t xml:space="preserve">NRA-RF02 | NRA: Cross-Border Trade Exploitation          cash, crossBorder                 2026-10-03</w:t>
      </w:r>
    </w:p>
    <w:p>
      <w:pPr>
        <w:spacing w:after="0"/>
      </w:pPr>
      <w:r>
        <w:rPr>
          <w:rFonts w:ascii="Courier New" w:hAnsi="Courier New" w:cs="Courier New"/>
          <w:sz w:val="20"/>
        </w:rPr>
        <w:t xml:space="preserve">NRA-RF04 | FIU Typology 1: TBML in Gold Trade            thirdParty                        2026-10-03</w:t>
      </w:r>
    </w:p>
    <w:p>
      <w:pPr>
        <w:spacing w:after="0"/>
      </w:pPr>
      <w:r>
        <w:rPr>
          <w:rFonts w:ascii="Courier New" w:hAnsi="Courier New" w:cs="Courier New"/>
          <w:sz w:val="20"/>
        </w:rPr>
        <w:t xml:space="preserve">NRA-RF05 | FIU Typology 2: Foreign Currency Exchange ML  cash                              2026-10-03</w:t>
      </w:r>
    </w:p>
    <w:p>
      <w:pPr>
        <w:spacing w:after="0"/>
      </w:pPr>
      <w:r>
        <w:rPr>
          <w:rFonts w:ascii="Courier New" w:hAnsi="Courier New" w:cs="Courier New"/>
          <w:sz w:val="20"/>
        </w:rPr>
        <w:t xml:space="preserve">NRA-RF06 | FIU Typology 3: Gold/Cash Smuggling           cash, crossBorder                 2026-10-03</w:t>
      </w:r>
    </w:p>
    <w:p>
      <w:pPr>
        <w:spacing w:after="0"/>
      </w:pPr>
      <w:r>
        <w:rPr>
          <w:rFonts w:ascii="Courier New" w:hAnsi="Courier New" w:cs="Courier New"/>
          <w:sz w:val="20"/>
        </w:rPr>
        <w:t xml:space="preserve">NRA-RF07 | NRA: Misuse of Legal Persons/Nominees         cddGap                            2026-10-03</w:t>
      </w:r>
    </w:p>
    <w:p>
      <w:pPr>
        <w:spacing w:after="0"/>
      </w:pPr>
    </w:p>
    <w:p>
      <w:pPr>
        <w:spacing w:after="0"/>
      </w:pPr>
      <w:r>
        <w:rPr>
          <w:rFonts w:ascii="Courier New" w:hAnsi="Courier New" w:cs="Courier New"/>
          <w:sz w:val="20"/>
        </w:rPr>
        <w:t xml:space="preserve">ANALYTICAL COMMENTARY</w:t>
      </w:r>
    </w:p>
    <w:p>
      <w:pPr>
        <w:spacing w:after="0"/>
      </w:pPr>
    </w:p>
    <w:p>
      <w:pPr>
        <w:spacing w:after="0"/>
      </w:pPr>
      <w:r>
        <w:rPr>
          <w:rFonts w:ascii="Courier New" w:hAnsi="Courier New" w:cs="Courier New"/>
          <w:sz w:val="20"/>
        </w:rPr>
        <w:t xml:space="preserve">DAILY COMPLIANCE REPORT</w:t>
      </w:r>
    </w:p>
    <w:p>
      <w:pPr>
        <w:spacing w:after="0"/>
      </w:pPr>
      <w:r>
        <w:rPr>
          <w:rFonts w:ascii="Courier New" w:hAnsi="Courier New" w:cs="Courier New"/>
          <w:sz w:val="20"/>
        </w:rPr>
        <w:t xml:space="preserve">FG BRANCH</w:t>
      </w:r>
    </w:p>
    <w:p>
      <w:pPr>
        <w:spacing w:after="0"/>
      </w:pPr>
      <w:r>
        <w:rPr>
          <w:rFonts w:ascii="Courier New" w:hAnsi="Courier New" w:cs="Courier New"/>
          <w:sz w:val="20"/>
        </w:rPr>
        <w:t xml:space="preserve">10 April 2026</w:t>
      </w:r>
    </w:p>
    <w:p>
      <w:pPr>
        <w:spacing w:after="0"/>
      </w:pPr>
    </w:p>
    <w:p>
      <w:pPr>
        <w:spacing w:after="0"/>
      </w:pPr>
      <w:r>
        <w:rPr>
          <w:rFonts w:ascii="Courier New" w:hAnsi="Courier New" w:cs="Courier New"/>
          <w:sz w:val="20"/>
        </w:rPr>
        <w:t xml:space="preserve">OPERATIONAL STATUS</w:t>
      </w:r>
    </w:p>
    <w:p>
      <w:pPr>
        <w:spacing w:after="0"/>
      </w:pPr>
    </w:p>
    <w:p>
      <w:pPr>
        <w:spacing w:after="0"/>
      </w:pPr>
      <w:r>
        <w:rPr>
          <w:rFonts w:ascii="Courier New" w:hAnsi="Courier New" w:cs="Courier New"/>
          <w:sz w:val="20"/>
        </w:rPr>
        <w:t xml:space="preserve">The compliance programme for FG Branch holds 441 open items as of close of business today. No items are overdue, and no items face closure within 48 hours.</w:t>
      </w:r>
    </w:p>
    <w:p>
      <w:pPr>
        <w:spacing w:after="0"/>
      </w:pPr>
    </w:p>
    <w:p>
      <w:pPr>
        <w:spacing w:after="0"/>
      </w:pPr>
      <w:r>
        <w:rPr>
          <w:rFonts w:ascii="Courier New" w:hAnsi="Courier New" w:cs="Courier New"/>
          <w:sz w:val="20"/>
        </w:rPr>
        <w:t xml:space="preserve">TYPOLOGY SUMMARY</w:t>
      </w:r>
    </w:p>
    <w:p>
      <w:pPr>
        <w:spacing w:after="0"/>
      </w:pPr>
    </w:p>
    <w:p>
      <w:pPr>
        <w:spacing w:after="0"/>
      </w:pPr>
      <w:r>
        <w:rPr>
          <w:rFonts w:ascii="Courier New" w:hAnsi="Courier New" w:cs="Courier New"/>
          <w:sz w:val="20"/>
        </w:rPr>
        <w:t xml:space="preserve">We identified 251 matches across high-priority typologies today. Cross-border transactions generated 96 matches, the largest single category. Sanctions screening and training matches followed at 60 and 44 respectively. Cash transaction reporting yielded 31 matches against the cash transaction threshold specified by the DPMSR framework. Recycled gold declarations produced 23 matches. Escalations numbered 24. Matches also arose in peplist screening (9), DPMSR trigger events (32), customer due diligence gaps (8), precious stones risk assessment (1), high-risk jurisdiction exposure (10), third-party due diligence (19), and unusual transaction patterns (5). One item is marked as stalled. Red-flag items are present in the system. These volumes require MLRO review to confirm proportionate prioritisation and to assess whether any match warrants escalation to the Financial Intelligence Unit through the goAML platform.</w:t>
      </w:r>
    </w:p>
    <w:p>
      <w:pPr>
        <w:spacing w:after="0"/>
      </w:pPr>
    </w:p>
    <w:p>
      <w:pPr>
        <w:spacing w:after="0"/>
      </w:pPr>
      <w:r>
        <w:rPr>
          <w:rFonts w:ascii="Courier New" w:hAnsi="Courier New" w:cs="Courier New"/>
          <w:sz w:val="20"/>
        </w:rPr>
        <w:t xml:space="preserve">NEXT ACTIONS</w:t>
      </w:r>
    </w:p>
    <w:p>
      <w:pPr>
        <w:spacing w:after="0"/>
      </w:pPr>
    </w:p>
    <w:p>
      <w:pPr>
        <w:spacing w:after="0"/>
      </w:pPr>
      <w:r>
        <w:rPr>
          <w:rFonts w:ascii="Courier New" w:hAnsi="Courier New" w:cs="Courier New"/>
          <w:sz w:val="20"/>
        </w:rPr>
        <w:t xml:space="preserve">Confirm whether the 96 cross-border transaction matches and the 32 DPMSR triggers each require individual SAR assessment or whether cohort analysis is appropriate. Review the 24 escalations flagged today to determine whether any meet the threshold for Suspicious Activity Report submission. Assess the nature and age of the one stalled item to establish whether it requires reassignment or closure. Confirm receipt of this report and advise the compliance function of any data queries by end of business today.</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ITEMS REQUIRING MLRO DECISION BEFORE END OF DAY</w:t>
      </w:r>
    </w:p>
    <w:p>
      <w:pPr>
        <w:spacing w:after="0"/>
      </w:pPr>
    </w:p>
    <w:p>
      <w:pPr>
        <w:spacing w:after="0"/>
      </w:pPr>
      <w:r>
        <w:rPr>
          <w:rFonts w:ascii="Courier New" w:hAnsi="Courier New" w:cs="Courier New"/>
          <w:sz w:val="20"/>
        </w:rPr>
        <w:t xml:space="preserve">One or more items above are flagged for MLRO attention. The MLRO is asked to review the red-flag table and the overdue table and to direct the compliance function accordingly.</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