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FG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HSV2-DER-2026-04-10-FG_LLC_-_COMPLIANCE_</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2026-04-10</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2026-04-10</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FG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101  </w:t>
      </w:r>
    </w:p>
    <w:p>
      <w:pPr>
        <w:spacing w:after="0"/>
      </w:pPr>
      <w:r>
        <w:rPr>
          <w:rFonts w:ascii="Courier New" w:hAnsi="Courier New" w:cs="Courier New"/>
          <w:sz w:val="20"/>
        </w:rPr>
        <w:t xml:space="preserve">training              68   </w:t>
      </w:r>
    </w:p>
    <w:p>
      <w:pPr>
        <w:spacing w:after="0"/>
      </w:pPr>
      <w:r>
        <w:rPr>
          <w:rFonts w:ascii="Courier New" w:hAnsi="Courier New" w:cs="Courier New"/>
          <w:sz w:val="20"/>
        </w:rPr>
        <w:t xml:space="preserve">sanctions             62   </w:t>
      </w:r>
    </w:p>
    <w:p>
      <w:pPr>
        <w:spacing w:after="0"/>
      </w:pPr>
      <w:r>
        <w:rPr>
          <w:rFonts w:ascii="Courier New" w:hAnsi="Courier New" w:cs="Courier New"/>
          <w:sz w:val="20"/>
        </w:rPr>
        <w:t xml:space="preserve">cash                  38   </w:t>
      </w:r>
    </w:p>
    <w:p>
      <w:pPr>
        <w:spacing w:after="0"/>
      </w:pPr>
      <w:r>
        <w:rPr>
          <w:rFonts w:ascii="Courier New" w:hAnsi="Courier New" w:cs="Courier New"/>
          <w:sz w:val="20"/>
        </w:rPr>
        <w:t xml:space="preserve">dpmsrTrigger          38   </w:t>
      </w:r>
    </w:p>
    <w:p>
      <w:pPr>
        <w:spacing w:after="0"/>
      </w:pPr>
      <w:r>
        <w:rPr>
          <w:rFonts w:ascii="Courier New" w:hAnsi="Courier New" w:cs="Courier New"/>
          <w:sz w:val="20"/>
        </w:rPr>
        <w:t xml:space="preserve">escalation            28   </w:t>
      </w:r>
    </w:p>
    <w:p>
      <w:pPr>
        <w:spacing w:after="0"/>
      </w:pPr>
      <w:r>
        <w:rPr>
          <w:rFonts w:ascii="Courier New" w:hAnsi="Courier New" w:cs="Courier New"/>
          <w:sz w:val="20"/>
        </w:rPr>
        <w:t xml:space="preserve">thirdParty            27   </w:t>
      </w:r>
    </w:p>
    <w:p>
      <w:pPr>
        <w:spacing w:after="0"/>
      </w:pPr>
      <w:r>
        <w:rPr>
          <w:rFonts w:ascii="Courier New" w:hAnsi="Courier New" w:cs="Courier New"/>
          <w:sz w:val="20"/>
        </w:rPr>
        <w:t xml:space="preserve">recycledGold          23   </w:t>
      </w:r>
    </w:p>
    <w:p>
      <w:pPr>
        <w:spacing w:after="0"/>
      </w:pPr>
      <w:r>
        <w:rPr>
          <w:rFonts w:ascii="Courier New" w:hAnsi="Courier New" w:cs="Courier New"/>
          <w:sz w:val="20"/>
        </w:rPr>
        <w:t xml:space="preserve">pep                   12   </w:t>
      </w:r>
    </w:p>
    <w:p>
      <w:pPr>
        <w:spacing w:after="0"/>
      </w:pPr>
      <w:r>
        <w:rPr>
          <w:rFonts w:ascii="Courier New" w:hAnsi="Courier New" w:cs="Courier New"/>
          <w:sz w:val="20"/>
        </w:rPr>
        <w:t xml:space="preserve">cddGap                10   </w:t>
      </w:r>
    </w:p>
    <w:p>
      <w:pPr>
        <w:spacing w:after="0"/>
      </w:pPr>
      <w:r>
        <w:rPr>
          <w:rFonts w:ascii="Courier New" w:hAnsi="Courier New" w:cs="Courier New"/>
          <w:sz w:val="20"/>
        </w:rPr>
        <w:t xml:space="preserve">highRiskJurisdiction  9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2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 CDD-CRITICAL: VAT Compliance for Precious Metals (2026-04-  pep, dpmsrTrigger                 2026-10-03</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 FG LLC</w:t>
      </w:r>
    </w:p>
    <w:p>
      <w:pPr>
        <w:spacing w:after="0"/>
      </w:pPr>
      <w:r>
        <w:rPr>
          <w:rFonts w:ascii="Courier New" w:hAnsi="Courier New" w:cs="Courier New"/>
          <w:sz w:val="20"/>
        </w:rPr>
        <w:t xml:space="preserve">2026-04-10</w:t>
      </w:r>
    </w:p>
    <w:p>
      <w:pPr>
        <w:spacing w:after="0"/>
      </w:pPr>
    </w:p>
    <w:p>
      <w:pPr>
        <w:spacing w:after="0"/>
      </w:pPr>
      <w:r>
        <w:rPr>
          <w:rFonts w:ascii="Courier New" w:hAnsi="Courier New" w:cs="Courier New"/>
          <w:sz w:val="20"/>
        </w:rPr>
        <w:t xml:space="preserve">CURRENT STATUS</w:t>
      </w:r>
    </w:p>
    <w:p>
      <w:pPr>
        <w:spacing w:after="0"/>
      </w:pPr>
    </w:p>
    <w:p>
      <w:pPr>
        <w:spacing w:after="0"/>
      </w:pPr>
      <w:r>
        <w:rPr>
          <w:rFonts w:ascii="Courier New" w:hAnsi="Courier New" w:cs="Courier New"/>
          <w:sz w:val="20"/>
        </w:rPr>
        <w:t xml:space="preserve">We are tracking 441 open compliance items with no overdue or at-risk items as of today. The absence of aged items and items due within 48 hours indicates our monitoring position is current. We completed no items in the last 24 hours and raised no new items today.</w:t>
      </w:r>
    </w:p>
    <w:p>
      <w:pPr>
        <w:spacing w:after="0"/>
      </w:pPr>
    </w:p>
    <w:p>
      <w:pPr>
        <w:spacing w:after="0"/>
      </w:pPr>
      <w:r>
        <w:rPr>
          <w:rFonts w:ascii="Courier New" w:hAnsi="Courier New" w:cs="Courier New"/>
          <w:sz w:val="20"/>
        </w:rPr>
        <w:t xml:space="preserve">TYPOLOGY ANALYSIS</w:t>
      </w:r>
    </w:p>
    <w:p>
      <w:pPr>
        <w:spacing w:after="0"/>
      </w:pPr>
    </w:p>
    <w:p>
      <w:pPr>
        <w:spacing w:after="0"/>
      </w:pPr>
      <w:r>
        <w:rPr>
          <w:rFonts w:ascii="Courier New" w:hAnsi="Courier New" w:cs="Courier New"/>
          <w:sz w:val="20"/>
        </w:rPr>
        <w:t xml:space="preserve">Today's screening cycle has identified 441 typology matches across multiple risk categories, with cross-border transactions (101 matches) and sanctions screening (62 matches) representing the largest volumes. We have also identified 68 training-related items, indicating either ongoing training cycle completion or gaps in staff certification that require scheduling. The presence of 38 cash transaction matches requires verification against the cash transaction threshold specified by the DPMSR framework. We have flagged 101 cross-border transactions, 38 DPMSR triggers, and 28 escalation items that may require Enhanced Due Diligence under the applicable provision of Federal Decree-Law No. 10 of 2025. A single precious stones match and 23 recycled gold matches warrant inspection for source and chain of custody. The stalled items (2) and red-flag items present in the book indicate blockers or unresolved risk signals that require intervention.</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Provide the MLRO with a brief written summary of all red-flag items present in the book today. Complete all stalled items within one business day. Route the 28 escalation items to the Enhanced Due Diligence team for assessment and determination. Schedule the 68 training items and confirm completion dates with Senior Management by end of business tomorrow.</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