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GRAMALTIN AS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HSV2-DER-2026-04-10-GRAMALTIN_AS_-_COMPL</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GRAMALTIN AS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58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COMMENTARY</w:t>
      </w:r>
    </w:p>
    <w:p>
      <w:pPr>
        <w:spacing w:after="0"/>
      </w:pPr>
    </w:p>
    <w:p>
      <w:pPr>
        <w:spacing w:after="0"/>
      </w:pPr>
      <w:r>
        <w:rPr>
          <w:rFonts w:ascii="Courier New" w:hAnsi="Courier New" w:cs="Courier New"/>
          <w:sz w:val="20"/>
        </w:rPr>
        <w:t xml:space="preserve">GRAMALTIN AS COMPLIANCE PROGRAMME 2026</w:t>
      </w:r>
    </w:p>
    <w:p>
      <w:pPr>
        <w:spacing w:after="0"/>
      </w:pPr>
    </w:p>
    <w:p>
      <w:pPr>
        <w:spacing w:after="0"/>
      </w:pPr>
      <w:r>
        <w:rPr>
          <w:rFonts w:ascii="Courier New" w:hAnsi="Courier New" w:cs="Courier New"/>
          <w:sz w:val="20"/>
        </w:rPr>
        <w:t xml:space="preserve">2026-04-10</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hold 441 open compliance items with no overdue or at-risk items as of today. No new items were raised in the last 24 hours and no items were completed in the same period, indicating a stable operational posture with no acute backlog pressure.</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Our screening systems generated 245 matches across 15 typology categories today, a material volume that reflects normal transactional flow. The highest-volume matches were cross-border transactions (94 matches), sanctions screening (58 matches), and training-related flags (44 matches). These three categories account for 196 of the 245 matches and are consistent with routine compliance activity. However, we flag four categories for MLRO review. First, the 31 cash transaction matches warrant confirmation that all fall within the cash transaction threshold specified by the DPMSR framework and that supporting documentation is present. Second, the 30 DPMSR trigger matches should be reviewed to confirm that any reports due to the Financial Intelligence Unit through the goAML platform have been submitted on time. Third, the 23 escalation matches and 8 CDD gap matches indicate either failed customer due diligence or issues requiring senior review under the applicable provision of Federal Decree-Law No. 10 of 2025. Fourth, we note one stalled item, which may indicate a process bottleneck. Red-flag items remain present in the book and require active case management. Investigate the stalled item and the CDD gaps without delay.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Confirm that all 31 cash transaction matches are documented and compliant with the DPMSR framework. Review the 30 DPMSR trigger matches to verify that all required reports have been submitted to the Financial Intelligence Unit. Escalate the 23 escalation-category items to the MLRO for senior case review within one business day. Close out the one stalled item or escalate it to Senior Management by end of business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