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MADISON LLC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HSV2-DER-2026-04-10-MADISON_LLC_-_COMPLI</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2026-04-10</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2026-04-10</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MADISON LLC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441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92   </w:t>
      </w:r>
    </w:p>
    <w:p>
      <w:pPr>
        <w:spacing w:after="0"/>
      </w:pPr>
      <w:r>
        <w:rPr>
          <w:rFonts w:ascii="Courier New" w:hAnsi="Courier New" w:cs="Courier New"/>
          <w:sz w:val="20"/>
        </w:rPr>
        <w:t xml:space="preserve">sanctions             59   </w:t>
      </w:r>
    </w:p>
    <w:p>
      <w:pPr>
        <w:spacing w:after="0"/>
      </w:pPr>
      <w:r>
        <w:rPr>
          <w:rFonts w:ascii="Courier New" w:hAnsi="Courier New" w:cs="Courier New"/>
          <w:sz w:val="20"/>
        </w:rPr>
        <w:t xml:space="preserve">training              45   </w:t>
      </w:r>
    </w:p>
    <w:p>
      <w:pPr>
        <w:spacing w:after="0"/>
      </w:pPr>
      <w:r>
        <w:rPr>
          <w:rFonts w:ascii="Courier New" w:hAnsi="Courier New" w:cs="Courier New"/>
          <w:sz w:val="20"/>
        </w:rPr>
        <w:t xml:space="preserve">cash                  31   </w:t>
      </w:r>
    </w:p>
    <w:p>
      <w:pPr>
        <w:spacing w:after="0"/>
      </w:pPr>
      <w:r>
        <w:rPr>
          <w:rFonts w:ascii="Courier New" w:hAnsi="Courier New" w:cs="Courier New"/>
          <w:sz w:val="20"/>
        </w:rPr>
        <w:t xml:space="preserve">dpmsrTrigger          30   </w:t>
      </w:r>
    </w:p>
    <w:p>
      <w:pPr>
        <w:spacing w:after="0"/>
      </w:pPr>
      <w:r>
        <w:rPr>
          <w:rFonts w:ascii="Courier New" w:hAnsi="Courier New" w:cs="Courier New"/>
          <w:sz w:val="20"/>
        </w:rPr>
        <w:t xml:space="preserve">escalation            23   </w:t>
      </w:r>
    </w:p>
    <w:p>
      <w:pPr>
        <w:spacing w:after="0"/>
      </w:pPr>
      <w:r>
        <w:rPr>
          <w:rFonts w:ascii="Courier New" w:hAnsi="Courier New" w:cs="Courier New"/>
          <w:sz w:val="20"/>
        </w:rPr>
        <w:t xml:space="preserve">recycledGold          22   </w:t>
      </w:r>
    </w:p>
    <w:p>
      <w:pPr>
        <w:spacing w:after="0"/>
      </w:pPr>
      <w:r>
        <w:rPr>
          <w:rFonts w:ascii="Courier New" w:hAnsi="Courier New" w:cs="Courier New"/>
          <w:sz w:val="20"/>
        </w:rPr>
        <w:t xml:space="preserve">thirdParty            19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pep                   9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Task                                                          Typology flags                    Due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CDD-CRITICAL: VAT Compliance for Precious Metals (2026-04-  pep, dpmsrTrigger                 2026-10-03</w:t>
      </w:r>
    </w:p>
    <w:p>
      <w:pPr>
        <w:spacing w:after="0"/>
      </w:pPr>
      <w:r>
        <w:rPr>
          <w:rFonts w:ascii="Courier New" w:hAnsi="Courier New" w:cs="Courier New"/>
          <w:sz w:val="20"/>
        </w:rPr>
        <w:t xml:space="preserve">RF-R05 | Jewelry Scrap Aggregation Without CDD                cash, recycledGold, dpmsrTrigger  2026-10-03</w:t>
      </w:r>
    </w:p>
    <w:p>
      <w:pPr>
        <w:spacing w:after="0"/>
      </w:pPr>
      <w:r>
        <w:rPr>
          <w:rFonts w:ascii="Courier New" w:hAnsi="Courier New" w:cs="Courier New"/>
          <w:sz w:val="20"/>
        </w:rPr>
        <w:t xml:space="preserve">RF-R06 | Industrial Scrap Gold Processing                     sanctions, recycledGold           2026-10-03</w:t>
      </w:r>
    </w:p>
    <w:p>
      <w:pPr>
        <w:spacing w:after="0"/>
      </w:pPr>
      <w:r>
        <w:rPr>
          <w:rFonts w:ascii="Courier New" w:hAnsi="Courier New" w:cs="Courier New"/>
          <w:sz w:val="20"/>
        </w:rPr>
        <w:t xml:space="preserve">RF-R07 | Recycled Gold from Theft or Proceeds of Crime        recycledGold                      2026-10-03</w:t>
      </w:r>
    </w:p>
    <w:p>
      <w:pPr>
        <w:spacing w:after="0"/>
      </w:pPr>
      <w:r>
        <w:rPr>
          <w:rFonts w:ascii="Courier New" w:hAnsi="Courier New" w:cs="Courier New"/>
          <w:sz w:val="20"/>
        </w:rPr>
        <w:t xml:space="preserve">RF-R08 | Cross-Border Recycled Gold Smuggling                 crossBorder, recycledGold         2026-10-03</w:t>
      </w:r>
    </w:p>
    <w:p>
      <w:pPr>
        <w:spacing w:after="0"/>
      </w:pPr>
      <w:r>
        <w:rPr>
          <w:rFonts w:ascii="Courier New" w:hAnsi="Courier New" w:cs="Courier New"/>
          <w:sz w:val="20"/>
        </w:rPr>
        <w:t xml:space="preserve">RF-R09 | Recycled Material CDD Exemption Abuse                recycledGold, cddGap              2026-10-03</w:t>
      </w:r>
    </w:p>
    <w:p>
      <w:pPr>
        <w:spacing w:after="0"/>
      </w:pPr>
      <w:r>
        <w:rPr>
          <w:rFonts w:ascii="Courier New" w:hAnsi="Courier New" w:cs="Courier New"/>
          <w:sz w:val="20"/>
        </w:rPr>
        <w:t xml:space="preserve">RF-R10 | Gold-for-Cash Schemes via Recycled Material          cash, recycledGold, thirdParty    2026-10-03</w:t>
      </w:r>
    </w:p>
    <w:p>
      <w:pPr>
        <w:spacing w:after="0"/>
      </w:pPr>
      <w:r>
        <w:rPr>
          <w:rFonts w:ascii="Courier New" w:hAnsi="Courier New" w:cs="Courier New"/>
          <w:sz w:val="20"/>
        </w:rPr>
        <w:t xml:space="preserve">RF-R11 | Recycled Gold Purity and Assay Manipulation          recycledGold                      2026-10-03</w:t>
      </w:r>
    </w:p>
    <w:p>
      <w:pPr>
        <w:spacing w:after="0"/>
      </w:pPr>
      <w:r>
        <w:rPr>
          <w:rFonts w:ascii="Courier New" w:hAnsi="Courier New" w:cs="Courier New"/>
          <w:sz w:val="20"/>
        </w:rPr>
        <w:t xml:space="preserve">RF-R12 | Recycled Gold from Sanctioned Entities               sanctions, recycledGold           2026-10-03</w:t>
      </w:r>
    </w:p>
    <w:p>
      <w:pPr>
        <w:spacing w:after="0"/>
      </w:pPr>
      <w:r>
        <w:rPr>
          <w:rFonts w:ascii="Courier New" w:hAnsi="Courier New" w:cs="Courier New"/>
          <w:sz w:val="20"/>
        </w:rPr>
        <w:t xml:space="preserve">RF-R14 | Recycled Gold from Conflict/Looted Sources           recycledGold                      2026-10-03</w:t>
      </w:r>
    </w:p>
    <w:p>
      <w:pPr>
        <w:spacing w:after="0"/>
      </w:pPr>
      <w:r>
        <w:rPr>
          <w:rFonts w:ascii="Courier New" w:hAnsi="Courier New" w:cs="Courier New"/>
          <w:sz w:val="20"/>
        </w:rPr>
        <w:t xml:space="preserve">RF-R15 | Recycling Facility Due Diligence Gaps                recycledGold                      2026-10-03</w:t>
      </w:r>
    </w:p>
    <w:p>
      <w:pPr>
        <w:spacing w:after="0"/>
      </w:pPr>
      <w:r>
        <w:rPr>
          <w:rFonts w:ascii="Courier New" w:hAnsi="Courier New" w:cs="Courier New"/>
          <w:sz w:val="20"/>
        </w:rPr>
        <w:t xml:space="preserve">RF-R16 | Old Gold and Inherited Gold Verification             recycledGold                      2026-10-03</w:t>
      </w:r>
    </w:p>
    <w:p>
      <w:pPr>
        <w:spacing w:after="0"/>
      </w:pPr>
      <w:r>
        <w:rPr>
          <w:rFonts w:ascii="Courier New" w:hAnsi="Courier New" w:cs="Courier New"/>
          <w:sz w:val="20"/>
        </w:rPr>
        <w:t xml:space="preserve">RF-R17 | Recycled Gold as Hawala Alternative                  crossBorder, recycledGold         2026-10-03</w:t>
      </w:r>
    </w:p>
    <w:p>
      <w:pPr>
        <w:spacing w:after="0"/>
      </w:pPr>
      <w:r>
        <w:rPr>
          <w:rFonts w:ascii="Courier New" w:hAnsi="Courier New" w:cs="Courier New"/>
          <w:sz w:val="20"/>
        </w:rPr>
        <w:t xml:space="preserve">RF-R18 | Dental and Medical Gold Recycling Anomalies          recycledGold                      2026-10-03</w:t>
      </w:r>
    </w:p>
    <w:p>
      <w:pPr>
        <w:spacing w:after="0"/>
      </w:pPr>
      <w:r>
        <w:rPr>
          <w:rFonts w:ascii="Courier New" w:hAnsi="Courier New" w:cs="Courier New"/>
          <w:sz w:val="20"/>
        </w:rPr>
        <w:t xml:space="preserve">RF-R19 | Recycled Gold Documentation Gaps                     recycledGold                      2026-10-03</w:t>
      </w:r>
    </w:p>
    <w:p>
      <w:pPr>
        <w:spacing w:after="0"/>
      </w:pPr>
      <w:r>
        <w:rPr>
          <w:rFonts w:ascii="Courier New" w:hAnsi="Courier New" w:cs="Courier New"/>
          <w:sz w:val="20"/>
        </w:rPr>
        <w:t xml:space="preserve">NRA-RF01 | NRA: High Cash Intensity Patterns                  cash                              2026-10-03</w:t>
      </w:r>
    </w:p>
    <w:p>
      <w:pPr>
        <w:spacing w:after="0"/>
      </w:pPr>
      <w:r>
        <w:rPr>
          <w:rFonts w:ascii="Courier New" w:hAnsi="Courier New" w:cs="Courier New"/>
          <w:sz w:val="20"/>
        </w:rPr>
        <w:t xml:space="preserve">NRA-RF02 | NRA: Cross-Border Trade Exploitation               cash, crossBorder                 2026-10-03</w:t>
      </w:r>
    </w:p>
    <w:p>
      <w:pPr>
        <w:spacing w:after="0"/>
      </w:pPr>
      <w:r>
        <w:rPr>
          <w:rFonts w:ascii="Courier New" w:hAnsi="Courier New" w:cs="Courier New"/>
          <w:sz w:val="20"/>
        </w:rPr>
        <w:t xml:space="preserve">NRA-RF04 | FIU Typology 1: TBML in Gold Trade                 thirdParty                        2026-10-03</w:t>
      </w:r>
    </w:p>
    <w:p>
      <w:pPr>
        <w:spacing w:after="0"/>
      </w:pPr>
      <w:r>
        <w:rPr>
          <w:rFonts w:ascii="Courier New" w:hAnsi="Courier New" w:cs="Courier New"/>
          <w:sz w:val="20"/>
        </w:rPr>
        <w:t xml:space="preserve">NRA-RF05 | FIU Typology 2: Foreign Currency Exchange ML       cash                              2026-10-03</w:t>
      </w:r>
    </w:p>
    <w:p>
      <w:pPr>
        <w:spacing w:after="0"/>
      </w:pPr>
      <w:r>
        <w:rPr>
          <w:rFonts w:ascii="Courier New" w:hAnsi="Courier New" w:cs="Courier New"/>
          <w:sz w:val="20"/>
        </w:rPr>
        <w:t xml:space="preserve">NRA-RF06 | FIU Typology 3: Gold/Cash Smuggling                cash, crossBorder                 2026-10-03</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COMPLIANCE STATUS REPORT</w:t>
      </w:r>
    </w:p>
    <w:p>
      <w:pPr>
        <w:spacing w:after="0"/>
      </w:pPr>
    </w:p>
    <w:p>
      <w:pPr>
        <w:spacing w:after="0"/>
      </w:pPr>
      <w:r>
        <w:rPr>
          <w:rFonts w:ascii="Courier New" w:hAnsi="Courier New" w:cs="Courier New"/>
          <w:sz w:val="20"/>
        </w:rPr>
        <w:t xml:space="preserve">2026-04-10</w:t>
      </w:r>
    </w:p>
    <w:p>
      <w:pPr>
        <w:spacing w:after="0"/>
      </w:pPr>
    </w:p>
    <w:p>
      <w:pPr>
        <w:spacing w:after="0"/>
      </w:pPr>
      <w:r>
        <w:rPr>
          <w:rFonts w:ascii="Courier New" w:hAnsi="Courier New" w:cs="Courier New"/>
          <w:sz w:val="20"/>
        </w:rPr>
        <w:t xml:space="preserve">OPERATIONAL POSITION</w:t>
      </w:r>
    </w:p>
    <w:p>
      <w:pPr>
        <w:spacing w:after="0"/>
      </w:pPr>
    </w:p>
    <w:p>
      <w:pPr>
        <w:spacing w:after="0"/>
      </w:pPr>
      <w:r>
        <w:rPr>
          <w:rFonts w:ascii="Courier New" w:hAnsi="Courier New" w:cs="Courier New"/>
          <w:sz w:val="20"/>
        </w:rPr>
        <w:t xml:space="preserve">The compliance book stands at 441 open items with no overdue or at-risk matters as of today. No new items were raised in the last 24 hours and no items were completed during that period, indicating a stable operational position with current timelines being met.</w:t>
      </w:r>
    </w:p>
    <w:p>
      <w:pPr>
        <w:spacing w:after="0"/>
      </w:pPr>
    </w:p>
    <w:p>
      <w:pPr>
        <w:spacing w:after="0"/>
      </w:pPr>
      <w:r>
        <w:rPr>
          <w:rFonts w:ascii="Courier New" w:hAnsi="Courier New" w:cs="Courier New"/>
          <w:sz w:val="20"/>
        </w:rPr>
        <w:t xml:space="preserve">TYPOLOGY ALERTS REQUIRING MLRO ATTENTION</w:t>
      </w:r>
    </w:p>
    <w:p>
      <w:pPr>
        <w:spacing w:after="0"/>
      </w:pPr>
    </w:p>
    <w:p>
      <w:pPr>
        <w:spacing w:after="0"/>
      </w:pPr>
      <w:r>
        <w:rPr>
          <w:rFonts w:ascii="Courier New" w:hAnsi="Courier New" w:cs="Courier New"/>
          <w:sz w:val="20"/>
        </w:rPr>
        <w:t xml:space="preserve">Cross-border transactions generated 92 matches today, representing the highest volume alert, followed by sanctions screening at 59 matches. Training-related flags numbered 45 items, suggesting ongoing gaps in staff awareness or completion of mandatory programmes. Cash transaction patterns produced 31 matches, and the Dealers in Precious Metals and Stones Report framework triggered 30 alerts, both consistent with our transaction profile. Recycled gold sourcing generated 22 matches requiring verification of provenance and beneficial ownership. Escalation items numbered 23, with 19 third-party risk flags and 10 high-risk jurisdiction exposures also present. These volumes are within normal ranges but the combination of cross-border and sanctions activity warrants focused review of transaction documentation and customer screening protocols. The presence of one stalled case and eight customer due diligence gaps indicates active items requiring resolution.</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Review the 92 cross-border transaction matches against customer documentation and beneficial ownership records. Conduct targeted sanctions screening validation on the 59 matches flagged today. Verify training compliance across all staff with incomplete mandatory modules. Escalate the one stalled case to the MLRO for resolution by end of business today.</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