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NAPLES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HSV2-DER-2026-04-10-NAPLES_LLC_-_COMPLIA</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2026-04-10</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2026-04-10</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NAPLES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134  </w:t>
      </w:r>
    </w:p>
    <w:p>
      <w:pPr>
        <w:spacing w:after="0"/>
      </w:pPr>
      <w:r>
        <w:rPr>
          <w:rFonts w:ascii="Courier New" w:hAnsi="Courier New" w:cs="Courier New"/>
          <w:sz w:val="20"/>
        </w:rPr>
        <w:t xml:space="preserve">sanctions             59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cash                  32   </w:t>
      </w:r>
    </w:p>
    <w:p>
      <w:pPr>
        <w:spacing w:after="0"/>
      </w:pPr>
      <w:r>
        <w:rPr>
          <w:rFonts w:ascii="Courier New" w:hAnsi="Courier New" w:cs="Courier New"/>
          <w:sz w:val="20"/>
        </w:rPr>
        <w:t xml:space="preserve">dpmsrTrigger          31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escalation            22   </w:t>
      </w:r>
    </w:p>
    <w:p>
      <w:pPr>
        <w:spacing w:after="0"/>
      </w:pPr>
      <w:r>
        <w:rPr>
          <w:rFonts w:ascii="Courier New" w:hAnsi="Courier New" w:cs="Courier New"/>
          <w:sz w:val="20"/>
        </w:rPr>
        <w:t xml:space="preserve">thirdParty            20   </w:t>
      </w:r>
    </w:p>
    <w:p>
      <w:pPr>
        <w:spacing w:after="0"/>
      </w:pPr>
      <w:r>
        <w:rPr>
          <w:rFonts w:ascii="Courier New" w:hAnsi="Courier New" w:cs="Courier New"/>
          <w:sz w:val="20"/>
        </w:rPr>
        <w:t xml:space="preserve">pep                   10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4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CDD-CRITICAL: VAT Compliance for Precious Metals (2026-04-  pep, dpmsrTrigger                 2026-10-03</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NAPLES LLC</w:t>
      </w:r>
    </w:p>
    <w:p>
      <w:pPr>
        <w:spacing w:after="0"/>
      </w:pPr>
      <w:r>
        <w:rPr>
          <w:rFonts w:ascii="Courier New" w:hAnsi="Courier New" w:cs="Courier New"/>
          <w:sz w:val="20"/>
        </w:rPr>
        <w:t xml:space="preserve">10 APRIL 2026</w:t>
      </w:r>
    </w:p>
    <w:p>
      <w:pPr>
        <w:spacing w:after="0"/>
      </w:pPr>
    </w:p>
    <w:p>
      <w:pPr>
        <w:spacing w:after="0"/>
      </w:pPr>
      <w:r>
        <w:rPr>
          <w:rFonts w:ascii="Courier New" w:hAnsi="Courier New" w:cs="Courier New"/>
          <w:sz w:val="20"/>
        </w:rPr>
        <w:t xml:space="preserve">PORTFOLIO STATUS</w:t>
      </w:r>
    </w:p>
    <w:p>
      <w:pPr>
        <w:spacing w:after="0"/>
      </w:pPr>
    </w:p>
    <w:p>
      <w:pPr>
        <w:spacing w:after="0"/>
      </w:pPr>
      <w:r>
        <w:rPr>
          <w:rFonts w:ascii="Courier New" w:hAnsi="Courier New" w:cs="Courier New"/>
          <w:sz w:val="20"/>
        </w:rPr>
        <w:t xml:space="preserve">We hold 441 open compliance items as of 04:00 GMT today. No items are overdue, and no items are at-risk of breaching their due dates within 48 hours. We completed zero items in the last 24 hours and raised zero new items during the same period. Review the open portfolio for stalled cases and resource allocation.</w:t>
      </w:r>
    </w:p>
    <w:p>
      <w:pPr>
        <w:spacing w:after="0"/>
      </w:pPr>
    </w:p>
    <w:p>
      <w:pPr>
        <w:spacing w:after="0"/>
      </w:pPr>
      <w:r>
        <w:rPr>
          <w:rFonts w:ascii="Courier New" w:hAnsi="Courier New" w:cs="Courier New"/>
          <w:sz w:val="20"/>
        </w:rPr>
        <w:t xml:space="preserve">TYPOLOGY ANALYSIS AND PRIORITY MATTERS</w:t>
      </w:r>
    </w:p>
    <w:p>
      <w:pPr>
        <w:spacing w:after="0"/>
      </w:pPr>
    </w:p>
    <w:p>
      <w:pPr>
        <w:spacing w:after="0"/>
      </w:pPr>
      <w:r>
        <w:rPr>
          <w:rFonts w:ascii="Courier New" w:hAnsi="Courier New" w:cs="Courier New"/>
          <w:sz w:val="20"/>
        </w:rPr>
        <w:t xml:space="preserve">Today's screening has identified 441 typology matches across 15 categories. The most significant volume concerns are cross-border transactions (134 matches), sanctions screening (59 matches), and training compliance (44 matches). Secondary clusters include cash transaction indicators (32 matches) and DPMSR trigger events (31 matches). A single stalled investigation requires immediate attention, alongside 22 escalation items and red-flag indicators present in the portfolio. The combination of high-volume cross-border activity with active sanctions hits and stalled cases suggests potential gaps in transaction monitoring thresholds or delays in case closure procedures. Escalate the stalled investigation and all 22 escalation items to the MLRO for prioritisation within the business day.</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Obtain case summaries for each of the 22 escalation items currently flagged in the portfolio. Review the single stalled investigation for root cause and determine whether Senior Management intervention is required to unblock the case. Conduct a spot-check of the 134 cross-border matches to confirm that each transaction record contains the applicable supporting documentation required under Federal Decree-Law No. 10 of 2025. Submit a consolidated brief to the MLRO detailing the status, timing and proposed resolution of all red-flag items by end of business today.</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