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0"/>
      </w:pPr>
      <w:r>
        <w:rPr>
          <w:rFonts w:ascii="Courier New" w:hAnsi="Courier New" w:cs="Courier New"/>
          <w:sz w:val="20"/>
        </w:rPr>
        <w:t xml:space="preserve">=============================================================================</w:t>
      </w:r>
    </w:p>
    <w:p>
      <w:pPr>
        <w:spacing w:after="0"/>
      </w:pPr>
      <w:r>
        <w:rPr>
          <w:rFonts w:ascii="Courier New" w:hAnsi="Courier New" w:cs="Courier New"/>
          <w:sz w:val="20"/>
        </w:rPr>
        <w:t xml:space="preserve">THE REPORTING ENTITY</w:t>
      </w:r>
    </w:p>
    <w:p>
      <w:pPr>
        <w:spacing w:after="0"/>
      </w:pPr>
      <w:r>
        <w:rPr>
          <w:rFonts w:ascii="Courier New" w:hAnsi="Courier New" w:cs="Courier New"/>
          <w:sz w:val="20"/>
        </w:rPr>
        <w:t xml:space="preserve">DAILY COMPLIANCE REPORT</w:t>
      </w:r>
    </w:p>
    <w:p>
      <w:pPr>
        <w:spacing w:after="0"/>
      </w:pPr>
      <w:r>
        <w:rPr>
          <w:rFonts w:ascii="Courier New" w:hAnsi="Courier New" w:cs="Courier New"/>
          <w:sz w:val="20"/>
        </w:rPr>
        <w:t xml:space="preserve">ZOE FZE - COMPLIANCE PROGRAMME 2026</w:t>
      </w:r>
    </w:p>
    <w:p>
      <w:pPr>
        <w:spacing w:after="0"/>
      </w:pPr>
      <w:r>
        <w:rPr>
          <w:rFonts w:ascii="Courier New" w:hAnsi="Courier New" w:cs="Courier New"/>
          <w:sz w:val="20"/>
        </w:rPr>
        <w:t xml:space="preserve">=============================================================================</w:t>
      </w:r>
    </w:p>
    <w:p>
      <w:pPr>
        <w:spacing w:after="0"/>
      </w:pPr>
    </w:p>
    <w:p>
      <w:pPr>
        <w:spacing w:after="0"/>
      </w:pPr>
      <w:r>
        <w:rPr>
          <w:rFonts w:ascii="Courier New" w:hAnsi="Courier New" w:cs="Courier New"/>
          <w:sz w:val="20"/>
        </w:rPr>
        <w:t xml:space="preserve">Document reference:   HSV2-DER-2026-04-10-ZOE_FZE_-_COMPLIANCE</w:t>
      </w:r>
    </w:p>
    <w:p>
      <w:pPr>
        <w:spacing w:after="0"/>
      </w:pPr>
      <w:r>
        <w:rPr>
          <w:rFonts w:ascii="Courier New" w:hAnsi="Courier New" w:cs="Courier New"/>
          <w:sz w:val="20"/>
        </w:rPr>
        <w:t xml:space="preserve">Classification:       Confidential. For MLRO review only.</w:t>
      </w:r>
    </w:p>
    <w:p>
      <w:pPr>
        <w:spacing w:after="0"/>
      </w:pPr>
      <w:r>
        <w:rPr>
          <w:rFonts w:ascii="Courier New" w:hAnsi="Courier New" w:cs="Courier New"/>
          <w:sz w:val="20"/>
        </w:rPr>
        <w:t xml:space="preserve">Version:              1.0</w:t>
      </w:r>
    </w:p>
    <w:p>
      <w:pPr>
        <w:spacing w:after="0"/>
      </w:pPr>
      <w:r>
        <w:rPr>
          <w:rFonts w:ascii="Courier New" w:hAnsi="Courier New" w:cs="Courier New"/>
          <w:sz w:val="20"/>
        </w:rPr>
        <w:t xml:space="preserve">Prepared by:          Compliance function, the Reporting Entity</w:t>
      </w:r>
    </w:p>
    <w:p>
      <w:pPr>
        <w:spacing w:after="0"/>
      </w:pPr>
      <w:r>
        <w:rPr>
          <w:rFonts w:ascii="Courier New" w:hAnsi="Courier New" w:cs="Courier New"/>
          <w:sz w:val="20"/>
        </w:rPr>
        <w:t xml:space="preserve">Prepared on:          2026-04-10</w:t>
      </w:r>
    </w:p>
    <w:p>
      <w:pPr>
        <w:spacing w:after="0"/>
      </w:pPr>
      <w:r>
        <w:rPr>
          <w:rFonts w:ascii="Courier New" w:hAnsi="Courier New" w:cs="Courier New"/>
          <w:sz w:val="20"/>
        </w:rPr>
        <w:t xml:space="preserve">Addressee:            LF, Money Laundering Reporting Officer (MLRO)</w:t>
      </w:r>
    </w:p>
    <w:p>
      <w:pPr>
        <w:spacing w:after="0"/>
      </w:pPr>
      <w:r>
        <w:rPr>
          <w:rFonts w:ascii="Courier New" w:hAnsi="Courier New" w:cs="Courier New"/>
          <w:sz w:val="20"/>
        </w:rPr>
        <w:t xml:space="preserve">Coverage:             Operational day ending 2026-04-10</w:t>
      </w:r>
    </w:p>
    <w:p>
      <w:pPr>
        <w:spacing w:after="0"/>
      </w:pPr>
      <w:r>
        <w:rPr>
          <w:rFonts w:ascii="Courier New" w:hAnsi="Courier New" w:cs="Courier New"/>
          <w:sz w:val="20"/>
        </w:rPr>
        <w:t xml:space="preserve">Retention period:     10 years, in accordance with the applicable provision</w:t>
      </w:r>
    </w:p>
    <w:p>
      <w:pPr>
        <w:spacing w:after="0"/>
      </w:pPr>
      <w:r>
        <w:rPr>
          <w:rFonts w:ascii="Courier New" w:hAnsi="Courier New" w:cs="Courier New"/>
          <w:sz w:val="20"/>
        </w:rPr>
        <w:t xml:space="preserve">                      of Federal Decree-Law No. 10 of 2025.</w:t>
      </w:r>
    </w:p>
    <w:p>
      <w:pPr>
        <w:spacing w:after="0"/>
      </w:pPr>
    </w:p>
    <w:p>
      <w:pPr>
        <w:spacing w:after="0"/>
      </w:pPr>
      <w:r>
        <w:rPr>
          <w:rFonts w:ascii="Courier New" w:hAnsi="Courier New" w:cs="Courier New"/>
          <w:sz w:val="20"/>
        </w:rPr>
        <w:t xml:space="preserve">ENTITY IDENTIFICATION</w:t>
      </w:r>
    </w:p>
    <w:p>
      <w:pPr>
        <w:spacing w:after="0"/>
      </w:pPr>
    </w:p>
    <w:p>
      <w:pPr>
        <w:spacing w:after="0"/>
      </w:pPr>
      <w:r>
        <w:rPr>
          <w:rFonts w:ascii="Courier New" w:hAnsi="Courier New" w:cs="Courier New"/>
          <w:sz w:val="20"/>
        </w:rPr>
        <w:t xml:space="preserve">Reporting entity: ZOE FZE - COMPLIANCE PROGRAMME 2026</w:t>
      </w:r>
    </w:p>
    <w:p>
      <w:pPr>
        <w:spacing w:after="0"/>
      </w:pPr>
      <w:r>
        <w:rPr>
          <w:rFonts w:ascii="Courier New" w:hAnsi="Courier New" w:cs="Courier New"/>
          <w:sz w:val="20"/>
        </w:rPr>
        <w:t xml:space="preserve">Sector: Dealer in Precious Metals and Stones (DPMS)</w:t>
      </w:r>
    </w:p>
    <w:p>
      <w:pPr>
        <w:spacing w:after="0"/>
      </w:pPr>
      <w:r>
        <w:rPr>
          <w:rFonts w:ascii="Courier New" w:hAnsi="Courier New" w:cs="Courier New"/>
          <w:sz w:val="20"/>
        </w:rPr>
        <w:t xml:space="preserve">Classification: Designated Non-Financial Business and Profession (DNFBP)</w:t>
      </w:r>
    </w:p>
    <w:p>
      <w:pPr>
        <w:spacing w:after="0"/>
      </w:pPr>
      <w:r>
        <w:rPr>
          <w:rFonts w:ascii="Courier New" w:hAnsi="Courier New" w:cs="Courier New"/>
          <w:sz w:val="20"/>
        </w:rPr>
        <w:t xml:space="preserve">Supervisor: Ministry of Economy (MOE)</w:t>
      </w:r>
    </w:p>
    <w:p>
      <w:pPr>
        <w:spacing w:after="0"/>
      </w:pPr>
    </w:p>
    <w:p>
      <w:pPr>
        <w:spacing w:after="0"/>
      </w:pPr>
      <w:r>
        <w:rPr>
          <w:rFonts w:ascii="Courier New" w:hAnsi="Courier New" w:cs="Courier New"/>
          <w:sz w:val="20"/>
        </w:rPr>
        <w:t xml:space="preserve">OPEN EXPOSURE SNAPSHOT</w:t>
      </w:r>
    </w:p>
    <w:p>
      <w:pPr>
        <w:spacing w:after="0"/>
      </w:pPr>
    </w:p>
    <w:p>
      <w:pPr>
        <w:spacing w:after="0"/>
      </w:pPr>
      <w:r>
        <w:rPr>
          <w:rFonts w:ascii="Courier New" w:hAnsi="Courier New" w:cs="Courier New"/>
          <w:sz w:val="20"/>
        </w:rPr>
        <w:t xml:space="preserve">Metric               Count</w:t>
      </w:r>
    </w:p>
    <w:p>
      <w:pPr>
        <w:spacing w:after="0"/>
      </w:pPr>
      <w:r>
        <w:rPr>
          <w:rFonts w:ascii="Courier New" w:hAnsi="Courier New" w:cs="Courier New"/>
          <w:sz w:val="20"/>
        </w:rPr>
        <w:t xml:space="preserve">-------------------  -----</w:t>
      </w:r>
    </w:p>
    <w:p>
      <w:pPr>
        <w:spacing w:after="0"/>
      </w:pPr>
      <w:r>
        <w:rPr>
          <w:rFonts w:ascii="Courier New" w:hAnsi="Courier New" w:cs="Courier New"/>
          <w:sz w:val="20"/>
        </w:rPr>
        <w:t xml:space="preserve">Open items           441  </w:t>
      </w:r>
    </w:p>
    <w:p>
      <w:pPr>
        <w:spacing w:after="0"/>
      </w:pPr>
      <w:r>
        <w:rPr>
          <w:rFonts w:ascii="Courier New" w:hAnsi="Courier New" w:cs="Courier New"/>
          <w:sz w:val="20"/>
        </w:rPr>
        <w:t xml:space="preserve">Overdue items        0    </w:t>
      </w:r>
    </w:p>
    <w:p>
      <w:pPr>
        <w:spacing w:after="0"/>
      </w:pPr>
      <w:r>
        <w:rPr>
          <w:rFonts w:ascii="Courier New" w:hAnsi="Courier New" w:cs="Courier New"/>
          <w:sz w:val="20"/>
        </w:rPr>
        <w:t xml:space="preserve">At-risk items (48h)  0    </w:t>
      </w:r>
    </w:p>
    <w:p>
      <w:pPr>
        <w:spacing w:after="0"/>
      </w:pPr>
      <w:r>
        <w:rPr>
          <w:rFonts w:ascii="Courier New" w:hAnsi="Courier New" w:cs="Courier New"/>
          <w:sz w:val="20"/>
        </w:rPr>
        <w:t xml:space="preserve">Closed in last 24h   0    </w:t>
      </w:r>
    </w:p>
    <w:p>
      <w:pPr>
        <w:spacing w:after="0"/>
      </w:pPr>
      <w:r>
        <w:rPr>
          <w:rFonts w:ascii="Courier New" w:hAnsi="Courier New" w:cs="Courier New"/>
          <w:sz w:val="20"/>
        </w:rPr>
        <w:t xml:space="preserve">New in last 24h      0    </w:t>
      </w:r>
    </w:p>
    <w:p>
      <w:pPr>
        <w:spacing w:after="0"/>
      </w:pPr>
    </w:p>
    <w:p>
      <w:pPr>
        <w:spacing w:after="0"/>
      </w:pPr>
      <w:r>
        <w:rPr>
          <w:rFonts w:ascii="Courier New" w:hAnsi="Courier New" w:cs="Courier New"/>
          <w:sz w:val="20"/>
        </w:rPr>
        <w:t xml:space="preserve">TYPOLOGY DISTRIBUTION TODAY</w:t>
      </w:r>
    </w:p>
    <w:p>
      <w:pPr>
        <w:spacing w:after="0"/>
      </w:pPr>
    </w:p>
    <w:p>
      <w:pPr>
        <w:spacing w:after="0"/>
      </w:pPr>
      <w:r>
        <w:rPr>
          <w:rFonts w:ascii="Courier New" w:hAnsi="Courier New" w:cs="Courier New"/>
          <w:sz w:val="20"/>
        </w:rPr>
        <w:t xml:space="preserve">Typology              Tasks</w:t>
      </w:r>
    </w:p>
    <w:p>
      <w:pPr>
        <w:spacing w:after="0"/>
      </w:pPr>
      <w:r>
        <w:rPr>
          <w:rFonts w:ascii="Courier New" w:hAnsi="Courier New" w:cs="Courier New"/>
          <w:sz w:val="20"/>
        </w:rPr>
        <w:t xml:space="preserve">--------------------  -----</w:t>
      </w:r>
    </w:p>
    <w:p>
      <w:pPr>
        <w:spacing w:after="0"/>
      </w:pPr>
      <w:r>
        <w:rPr>
          <w:rFonts w:ascii="Courier New" w:hAnsi="Courier New" w:cs="Courier New"/>
          <w:sz w:val="20"/>
        </w:rPr>
        <w:t xml:space="preserve">crossBorder           94   </w:t>
      </w:r>
    </w:p>
    <w:p>
      <w:pPr>
        <w:spacing w:after="0"/>
      </w:pPr>
      <w:r>
        <w:rPr>
          <w:rFonts w:ascii="Courier New" w:hAnsi="Courier New" w:cs="Courier New"/>
          <w:sz w:val="20"/>
        </w:rPr>
        <w:t xml:space="preserve">sanctions             59   </w:t>
      </w:r>
    </w:p>
    <w:p>
      <w:pPr>
        <w:spacing w:after="0"/>
      </w:pPr>
      <w:r>
        <w:rPr>
          <w:rFonts w:ascii="Courier New" w:hAnsi="Courier New" w:cs="Courier New"/>
          <w:sz w:val="20"/>
        </w:rPr>
        <w:t xml:space="preserve">training              44   </w:t>
      </w:r>
    </w:p>
    <w:p>
      <w:pPr>
        <w:spacing w:after="0"/>
      </w:pPr>
      <w:r>
        <w:rPr>
          <w:rFonts w:ascii="Courier New" w:hAnsi="Courier New" w:cs="Courier New"/>
          <w:sz w:val="20"/>
        </w:rPr>
        <w:t xml:space="preserve">cash                  31   </w:t>
      </w:r>
    </w:p>
    <w:p>
      <w:pPr>
        <w:spacing w:after="0"/>
      </w:pPr>
      <w:r>
        <w:rPr>
          <w:rFonts w:ascii="Courier New" w:hAnsi="Courier New" w:cs="Courier New"/>
          <w:sz w:val="20"/>
        </w:rPr>
        <w:t xml:space="preserve">dpmsrTrigger          30   </w:t>
      </w:r>
    </w:p>
    <w:p>
      <w:pPr>
        <w:spacing w:after="0"/>
      </w:pPr>
      <w:r>
        <w:rPr>
          <w:rFonts w:ascii="Courier New" w:hAnsi="Courier New" w:cs="Courier New"/>
          <w:sz w:val="20"/>
        </w:rPr>
        <w:t xml:space="preserve">escalation            23   </w:t>
      </w:r>
    </w:p>
    <w:p>
      <w:pPr>
        <w:spacing w:after="0"/>
      </w:pPr>
      <w:r>
        <w:rPr>
          <w:rFonts w:ascii="Courier New" w:hAnsi="Courier New" w:cs="Courier New"/>
          <w:sz w:val="20"/>
        </w:rPr>
        <w:t xml:space="preserve">recycledGold          22   </w:t>
      </w:r>
    </w:p>
    <w:p>
      <w:pPr>
        <w:spacing w:after="0"/>
      </w:pPr>
      <w:r>
        <w:rPr>
          <w:rFonts w:ascii="Courier New" w:hAnsi="Courier New" w:cs="Courier New"/>
          <w:sz w:val="20"/>
        </w:rPr>
        <w:t xml:space="preserve">thirdParty            19   </w:t>
      </w:r>
    </w:p>
    <w:p>
      <w:pPr>
        <w:spacing w:after="0"/>
      </w:pPr>
      <w:r>
        <w:rPr>
          <w:rFonts w:ascii="Courier New" w:hAnsi="Courier New" w:cs="Courier New"/>
          <w:sz w:val="20"/>
        </w:rPr>
        <w:t xml:space="preserve">pep                   10   </w:t>
      </w:r>
    </w:p>
    <w:p>
      <w:pPr>
        <w:spacing w:after="0"/>
      </w:pPr>
      <w:r>
        <w:rPr>
          <w:rFonts w:ascii="Courier New" w:hAnsi="Courier New" w:cs="Courier New"/>
          <w:sz w:val="20"/>
        </w:rPr>
        <w:t xml:space="preserve">highRiskJurisdiction  10   </w:t>
      </w:r>
    </w:p>
    <w:p>
      <w:pPr>
        <w:spacing w:after="0"/>
      </w:pPr>
      <w:r>
        <w:rPr>
          <w:rFonts w:ascii="Courier New" w:hAnsi="Courier New" w:cs="Courier New"/>
          <w:sz w:val="20"/>
        </w:rPr>
        <w:t xml:space="preserve">cddGap                8    </w:t>
      </w:r>
    </w:p>
    <w:p>
      <w:pPr>
        <w:spacing w:after="0"/>
      </w:pPr>
      <w:r>
        <w:rPr>
          <w:rFonts w:ascii="Courier New" w:hAnsi="Courier New" w:cs="Courier New"/>
          <w:sz w:val="20"/>
        </w:rPr>
        <w:t xml:space="preserve">unusualPattern        5    </w:t>
      </w:r>
    </w:p>
    <w:p>
      <w:pPr>
        <w:spacing w:after="0"/>
      </w:pPr>
      <w:r>
        <w:rPr>
          <w:rFonts w:ascii="Courier New" w:hAnsi="Courier New" w:cs="Courier New"/>
          <w:sz w:val="20"/>
        </w:rPr>
        <w:t xml:space="preserve">stalled               1    </w:t>
      </w:r>
    </w:p>
    <w:p>
      <w:pPr>
        <w:spacing w:after="0"/>
      </w:pPr>
      <w:r>
        <w:rPr>
          <w:rFonts w:ascii="Courier New" w:hAnsi="Courier New" w:cs="Courier New"/>
          <w:sz w:val="20"/>
        </w:rPr>
        <w:t xml:space="preserve">preciousStones        1    </w:t>
      </w:r>
    </w:p>
    <w:p>
      <w:pPr>
        <w:spacing w:after="0"/>
      </w:pPr>
    </w:p>
    <w:p>
      <w:pPr>
        <w:spacing w:after="0"/>
      </w:pPr>
      <w:r>
        <w:rPr>
          <w:rFonts w:ascii="Courier New" w:hAnsi="Courier New" w:cs="Courier New"/>
          <w:sz w:val="20"/>
        </w:rPr>
        <w:t xml:space="preserve">OVERDUE ITEMS REQUIRING ATTENTION</w:t>
      </w:r>
    </w:p>
    <w:p>
      <w:pPr>
        <w:spacing w:after="0"/>
      </w:pPr>
    </w:p>
    <w:p>
      <w:pPr>
        <w:spacing w:after="0"/>
      </w:pPr>
      <w:r>
        <w:rPr>
          <w:rFonts w:ascii="Courier New" w:hAnsi="Courier New" w:cs="Courier New"/>
          <w:sz w:val="20"/>
        </w:rPr>
        <w:t xml:space="preserve">(no overdue items)</w:t>
      </w:r>
    </w:p>
    <w:p>
      <w:pPr>
        <w:spacing w:after="0"/>
      </w:pPr>
    </w:p>
    <w:p>
      <w:pPr>
        <w:spacing w:after="0"/>
      </w:pPr>
      <w:r>
        <w:rPr>
          <w:rFonts w:ascii="Courier New" w:hAnsi="Courier New" w:cs="Courier New"/>
          <w:sz w:val="20"/>
        </w:rPr>
        <w:t xml:space="preserve">RED-FLAG ITEMS RAISED OR OPEN</w:t>
      </w:r>
    </w:p>
    <w:p>
      <w:pPr>
        <w:spacing w:after="0"/>
      </w:pPr>
    </w:p>
    <w:p>
      <w:pPr>
        <w:spacing w:after="0"/>
      </w:pPr>
      <w:r>
        <w:rPr>
          <w:rFonts w:ascii="Courier New" w:hAnsi="Courier New" w:cs="Courier New"/>
          <w:sz w:val="20"/>
        </w:rPr>
        <w:t xml:space="preserve">Task                                                          Typology flags                    Due       </w:t>
      </w:r>
    </w:p>
    <w:p>
      <w:pPr>
        <w:spacing w:after="0"/>
      </w:pPr>
      <w:r>
        <w:rPr>
          <w:rFonts w:ascii="Courier New" w:hAnsi="Courier New" w:cs="Courier New"/>
          <w:sz w:val="20"/>
        </w:rPr>
        <w:t xml:space="preserve">------------------------------------------------------------  --------------------------------  ----------</w:t>
      </w:r>
    </w:p>
    <w:p>
      <w:pPr>
        <w:spacing w:after="0"/>
      </w:pPr>
      <w:r>
        <w:rPr>
          <w:rFonts w:ascii="Courier New" w:hAnsi="Courier New" w:cs="Courier New"/>
          <w:sz w:val="20"/>
        </w:rPr>
        <w:t xml:space="preserve">⚠ CDD-CRITICAL: VAT Compliance for Precious Metals (2026-04-  pep, dpmsrTrigger                 2026-10-03</w:t>
      </w:r>
    </w:p>
    <w:p>
      <w:pPr>
        <w:spacing w:after="0"/>
      </w:pPr>
      <w:r>
        <w:rPr>
          <w:rFonts w:ascii="Courier New" w:hAnsi="Courier New" w:cs="Courier New"/>
          <w:sz w:val="20"/>
        </w:rPr>
        <w:t xml:space="preserve">RF-R05 | Jewelry Scrap Aggregation Without CDD                cash, recycledGold, dpmsrTrigger  2026-10-03</w:t>
      </w:r>
    </w:p>
    <w:p>
      <w:pPr>
        <w:spacing w:after="0"/>
      </w:pPr>
      <w:r>
        <w:rPr>
          <w:rFonts w:ascii="Courier New" w:hAnsi="Courier New" w:cs="Courier New"/>
          <w:sz w:val="20"/>
        </w:rPr>
        <w:t xml:space="preserve">RF-R06 | Industrial Scrap Gold Processing                     sanctions, recycledGold           2026-10-03</w:t>
      </w:r>
    </w:p>
    <w:p>
      <w:pPr>
        <w:spacing w:after="0"/>
      </w:pPr>
      <w:r>
        <w:rPr>
          <w:rFonts w:ascii="Courier New" w:hAnsi="Courier New" w:cs="Courier New"/>
          <w:sz w:val="20"/>
        </w:rPr>
        <w:t xml:space="preserve">RF-R07 | Recycled Gold from Theft or Proceeds of Crime        recycledGold                      2026-10-03</w:t>
      </w:r>
    </w:p>
    <w:p>
      <w:pPr>
        <w:spacing w:after="0"/>
      </w:pPr>
      <w:r>
        <w:rPr>
          <w:rFonts w:ascii="Courier New" w:hAnsi="Courier New" w:cs="Courier New"/>
          <w:sz w:val="20"/>
        </w:rPr>
        <w:t xml:space="preserve">RF-R08 | Cross-Border Recycled Gold Smuggling                 crossBorder, recycledGold         2026-10-03</w:t>
      </w:r>
    </w:p>
    <w:p>
      <w:pPr>
        <w:spacing w:after="0"/>
      </w:pPr>
      <w:r>
        <w:rPr>
          <w:rFonts w:ascii="Courier New" w:hAnsi="Courier New" w:cs="Courier New"/>
          <w:sz w:val="20"/>
        </w:rPr>
        <w:t xml:space="preserve">RF-R09 | Recycled Material CDD Exemption Abuse                recycledGold, cddGap              2026-10-03</w:t>
      </w:r>
    </w:p>
    <w:p>
      <w:pPr>
        <w:spacing w:after="0"/>
      </w:pPr>
      <w:r>
        <w:rPr>
          <w:rFonts w:ascii="Courier New" w:hAnsi="Courier New" w:cs="Courier New"/>
          <w:sz w:val="20"/>
        </w:rPr>
        <w:t xml:space="preserve">RF-R10 | Gold-for-Cash Schemes via Recycled Material          cash, recycledGold, thirdParty    2026-10-03</w:t>
      </w:r>
    </w:p>
    <w:p>
      <w:pPr>
        <w:spacing w:after="0"/>
      </w:pPr>
      <w:r>
        <w:rPr>
          <w:rFonts w:ascii="Courier New" w:hAnsi="Courier New" w:cs="Courier New"/>
          <w:sz w:val="20"/>
        </w:rPr>
        <w:t xml:space="preserve">RF-R11 | Recycled Gold Purity and Assay Manipulation          recycledGold                      2026-10-03</w:t>
      </w:r>
    </w:p>
    <w:p>
      <w:pPr>
        <w:spacing w:after="0"/>
      </w:pPr>
      <w:r>
        <w:rPr>
          <w:rFonts w:ascii="Courier New" w:hAnsi="Courier New" w:cs="Courier New"/>
          <w:sz w:val="20"/>
        </w:rPr>
        <w:t xml:space="preserve">RF-R12 | Recycled Gold from Sanctioned Entities               sanctions, recycledGold           2026-10-03</w:t>
      </w:r>
    </w:p>
    <w:p>
      <w:pPr>
        <w:spacing w:after="0"/>
      </w:pPr>
      <w:r>
        <w:rPr>
          <w:rFonts w:ascii="Courier New" w:hAnsi="Courier New" w:cs="Courier New"/>
          <w:sz w:val="20"/>
        </w:rPr>
        <w:t xml:space="preserve">RF-R14 | Recycled Gold from Conflict/Looted Sources           recycledGold                      2026-10-03</w:t>
      </w:r>
    </w:p>
    <w:p>
      <w:pPr>
        <w:spacing w:after="0"/>
      </w:pPr>
      <w:r>
        <w:rPr>
          <w:rFonts w:ascii="Courier New" w:hAnsi="Courier New" w:cs="Courier New"/>
          <w:sz w:val="20"/>
        </w:rPr>
        <w:t xml:space="preserve">RF-R15 | Recycling Facility Due Diligence Gaps                recycledGold                      2026-10-03</w:t>
      </w:r>
    </w:p>
    <w:p>
      <w:pPr>
        <w:spacing w:after="0"/>
      </w:pPr>
      <w:r>
        <w:rPr>
          <w:rFonts w:ascii="Courier New" w:hAnsi="Courier New" w:cs="Courier New"/>
          <w:sz w:val="20"/>
        </w:rPr>
        <w:t xml:space="preserve">RF-R16 | Old Gold and Inherited Gold Verification             recycledGold                      2026-10-03</w:t>
      </w:r>
    </w:p>
    <w:p>
      <w:pPr>
        <w:spacing w:after="0"/>
      </w:pPr>
      <w:r>
        <w:rPr>
          <w:rFonts w:ascii="Courier New" w:hAnsi="Courier New" w:cs="Courier New"/>
          <w:sz w:val="20"/>
        </w:rPr>
        <w:t xml:space="preserve">RF-R17 | Recycled Gold as Hawala Alternative                  crossBorder, recycledGold         2026-10-03</w:t>
      </w:r>
    </w:p>
    <w:p>
      <w:pPr>
        <w:spacing w:after="0"/>
      </w:pPr>
      <w:r>
        <w:rPr>
          <w:rFonts w:ascii="Courier New" w:hAnsi="Courier New" w:cs="Courier New"/>
          <w:sz w:val="20"/>
        </w:rPr>
        <w:t xml:space="preserve">RF-R18 | Dental and Medical Gold Recycling Anomalies          recycledGold                      2026-10-03</w:t>
      </w:r>
    </w:p>
    <w:p>
      <w:pPr>
        <w:spacing w:after="0"/>
      </w:pPr>
      <w:r>
        <w:rPr>
          <w:rFonts w:ascii="Courier New" w:hAnsi="Courier New" w:cs="Courier New"/>
          <w:sz w:val="20"/>
        </w:rPr>
        <w:t xml:space="preserve">RF-R19 | Recycled Gold Documentation Gaps                     recycledGold                      2026-10-03</w:t>
      </w:r>
    </w:p>
    <w:p>
      <w:pPr>
        <w:spacing w:after="0"/>
      </w:pPr>
      <w:r>
        <w:rPr>
          <w:rFonts w:ascii="Courier New" w:hAnsi="Courier New" w:cs="Courier New"/>
          <w:sz w:val="20"/>
        </w:rPr>
        <w:t xml:space="preserve">NRA-RF01 | NRA: High Cash Intensity Patterns                  cash                              2026-10-03</w:t>
      </w:r>
    </w:p>
    <w:p>
      <w:pPr>
        <w:spacing w:after="0"/>
      </w:pPr>
      <w:r>
        <w:rPr>
          <w:rFonts w:ascii="Courier New" w:hAnsi="Courier New" w:cs="Courier New"/>
          <w:sz w:val="20"/>
        </w:rPr>
        <w:t xml:space="preserve">NRA-RF02 | NRA: Cross-Border Trade Exploitation               cash, crossBorder                 2026-10-03</w:t>
      </w:r>
    </w:p>
    <w:p>
      <w:pPr>
        <w:spacing w:after="0"/>
      </w:pPr>
      <w:r>
        <w:rPr>
          <w:rFonts w:ascii="Courier New" w:hAnsi="Courier New" w:cs="Courier New"/>
          <w:sz w:val="20"/>
        </w:rPr>
        <w:t xml:space="preserve">NRA-RF04 | FIU Typology 1: TBML in Gold Trade                 thirdParty                        2026-10-03</w:t>
      </w:r>
    </w:p>
    <w:p>
      <w:pPr>
        <w:spacing w:after="0"/>
      </w:pPr>
      <w:r>
        <w:rPr>
          <w:rFonts w:ascii="Courier New" w:hAnsi="Courier New" w:cs="Courier New"/>
          <w:sz w:val="20"/>
        </w:rPr>
        <w:t xml:space="preserve">NRA-RF05 | FIU Typology 2: Foreign Currency Exchange ML       cash                              2026-10-03</w:t>
      </w:r>
    </w:p>
    <w:p>
      <w:pPr>
        <w:spacing w:after="0"/>
      </w:pPr>
      <w:r>
        <w:rPr>
          <w:rFonts w:ascii="Courier New" w:hAnsi="Courier New" w:cs="Courier New"/>
          <w:sz w:val="20"/>
        </w:rPr>
        <w:t xml:space="preserve">NRA-RF06 | FIU Typology 3: Gold/Cash Smuggling                cash, crossBorder                 2026-10-03</w:t>
      </w:r>
    </w:p>
    <w:p>
      <w:pPr>
        <w:spacing w:after="0"/>
      </w:pPr>
    </w:p>
    <w:p>
      <w:pPr>
        <w:spacing w:after="0"/>
      </w:pPr>
      <w:r>
        <w:rPr>
          <w:rFonts w:ascii="Courier New" w:hAnsi="Courier New" w:cs="Courier New"/>
          <w:sz w:val="20"/>
        </w:rPr>
        <w:t xml:space="preserve">ANALYTICAL COMMENTARY</w:t>
      </w:r>
    </w:p>
    <w:p>
      <w:pPr>
        <w:spacing w:after="0"/>
      </w:pPr>
    </w:p>
    <w:p>
      <w:pPr>
        <w:spacing w:after="0"/>
      </w:pPr>
      <w:r>
        <w:rPr>
          <w:rFonts w:ascii="Courier New" w:hAnsi="Courier New" w:cs="Courier New"/>
          <w:sz w:val="20"/>
        </w:rPr>
        <w:t xml:space="preserve">COMPLIANCE STATUS 2026-04-10</w:t>
      </w:r>
    </w:p>
    <w:p>
      <w:pPr>
        <w:spacing w:after="0"/>
      </w:pPr>
    </w:p>
    <w:p>
      <w:pPr>
        <w:spacing w:after="0"/>
      </w:pPr>
      <w:r>
        <w:rPr>
          <w:rFonts w:ascii="Courier New" w:hAnsi="Courier New" w:cs="Courier New"/>
          <w:sz w:val="20"/>
        </w:rPr>
        <w:t xml:space="preserve">As at 2026-04-10, the compliance programme of ZOE FZE holds 441 open items with zero overdue items and zero items at risk of default within 48 hours. No new items were raised in the last 24 hours and no items were completed, indicating a static position across the portfolio.</w:t>
      </w:r>
    </w:p>
    <w:p>
      <w:pPr>
        <w:spacing w:after="0"/>
      </w:pPr>
    </w:p>
    <w:p>
      <w:pPr>
        <w:spacing w:after="0"/>
      </w:pPr>
      <w:r>
        <w:rPr>
          <w:rFonts w:ascii="Courier New" w:hAnsi="Courier New" w:cs="Courier New"/>
          <w:sz w:val="20"/>
        </w:rPr>
        <w:t xml:space="preserve">The typology matches recorded today total 374 flags across 15 categories. The highest volume concentrations are cross-border transactions (94 matches), sanctions screening (59 matches), and cash transaction reporting (31 matches). Sanctions screening and cash reporting reflect routine control activity in our portfolio. Cross-border transaction flagging at this volume warrants review to confirm that patterns remain consistent with our customer risk profile and transaction history. Training completion flags (44 matches) and escalation-linked items (23 matches) indicate ongoing control remediation. A single stalled item is present in the book and requires investigation. Red-flag items are present in the portfolio and require immediate MLRO attention to determine whether any flag cascades to a Suspicious Transaction Report or Suspicious Activity Report under Federal Decree-Law No. 10 of 2025.</w:t>
      </w:r>
    </w:p>
    <w:p>
      <w:pPr>
        <w:spacing w:after="0"/>
      </w:pPr>
    </w:p>
    <w:p>
      <w:pPr>
        <w:spacing w:after="0"/>
      </w:pPr>
      <w:r>
        <w:rPr>
          <w:rFonts w:ascii="Courier New" w:hAnsi="Courier New" w:cs="Courier New"/>
          <w:sz w:val="20"/>
        </w:rPr>
        <w:t xml:space="preserve">Review the stalled item for root cause and apply remediation. Assess the cross-border transaction flags for pattern consistency with our customer base and documented risk appetite. Obtain the MLRO's direction on the present red-flag items to determine reporting thresholds. Close the daily report on completion of the above.</w:t>
      </w:r>
    </w:p>
    <w:p>
      <w:pPr>
        <w:spacing w:after="0"/>
      </w:pPr>
    </w:p>
    <w:p>
      <w:pPr>
        <w:spacing w:after="0"/>
      </w:pPr>
      <w:r>
        <w:rPr>
          <w:rFonts w:ascii="Courier New" w:hAnsi="Courier New" w:cs="Courier New"/>
          <w:sz w:val="20"/>
        </w:rPr>
        <w:t xml:space="preserve">For review by the MLRO, LF.</w:t>
      </w:r>
    </w:p>
    <w:p>
      <w:pPr>
        <w:spacing w:after="0"/>
      </w:pPr>
    </w:p>
    <w:p>
      <w:pPr>
        <w:spacing w:after="0"/>
      </w:pPr>
      <w:r>
        <w:rPr>
          <w:rFonts w:ascii="Courier New" w:hAnsi="Courier New" w:cs="Courier New"/>
          <w:sz w:val="20"/>
        </w:rPr>
        <w:t xml:space="preserve">ITEMS REQUIRING MLRO DECISION BEFORE END OF DAY</w:t>
      </w:r>
    </w:p>
    <w:p>
      <w:pPr>
        <w:spacing w:after="0"/>
      </w:pPr>
    </w:p>
    <w:p>
      <w:pPr>
        <w:spacing w:after="0"/>
      </w:pPr>
      <w:r>
        <w:rPr>
          <w:rFonts w:ascii="Courier New" w:hAnsi="Courier New" w:cs="Courier New"/>
          <w:sz w:val="20"/>
        </w:rPr>
        <w:t xml:space="preserve">One or more items above are flagged for MLRO attention. The MLRO is asked to review the red-flag table and the overdue table and to direct the compliance function accordingly.</w:t>
      </w:r>
    </w:p>
    <w:p>
      <w:pPr>
        <w:spacing w:after="0"/>
      </w:pPr>
    </w:p>
    <w:p>
      <w:pPr>
        <w:spacing w:after="0"/>
      </w:pPr>
      <w:r>
        <w:rPr>
          <w:rFonts w:ascii="Courier New" w:hAnsi="Courier New" w:cs="Courier New"/>
          <w:sz w:val="20"/>
        </w:rPr>
        <w:t xml:space="preserve">-----------------------------------------------------------------------------</w:t>
      </w:r>
    </w:p>
    <w:p>
      <w:pPr>
        <w:spacing w:after="0"/>
      </w:pPr>
      <w:r>
        <w:rPr>
          <w:rFonts w:ascii="Courier New" w:hAnsi="Courier New" w:cs="Courier New"/>
          <w:sz w:val="20"/>
        </w:rPr>
        <w:t xml:space="preserve">DOCUMENT SIGN-OFF</w:t>
      </w:r>
    </w:p>
    <w:p>
      <w:pPr>
        <w:spacing w:after="0"/>
      </w:pPr>
      <w:r>
        <w:rPr>
          <w:rFonts w:ascii="Courier New" w:hAnsi="Courier New" w:cs="Courier New"/>
          <w:sz w:val="20"/>
        </w:rPr>
        <w:t xml:space="preserve">-----------------------------------------------------------------------------</w:t>
      </w:r>
    </w:p>
    <w:p>
      <w:pPr>
        <w:spacing w:after="0"/>
      </w:pPr>
    </w:p>
    <w:p>
      <w:pPr>
        <w:spacing w:after="0"/>
      </w:pPr>
      <w:r>
        <w:rPr>
          <w:rFonts w:ascii="Courier New" w:hAnsi="Courier New" w:cs="Courier New"/>
          <w:sz w:val="20"/>
        </w:rPr>
        <w:t xml:space="preserve">Prepared by:   Compliance function, the Reporting Entity</w:t>
      </w:r>
    </w:p>
    <w:p>
      <w:pPr>
        <w:spacing w:after="0"/>
      </w:pPr>
      <w:r>
        <w:rPr>
          <w:rFonts w:ascii="Courier New" w:hAnsi="Courier New" w:cs="Courier New"/>
          <w:sz w:val="20"/>
        </w:rPr>
        <w:t xml:space="preserve">Reviewed by:   [awaiting MLRO review]</w:t>
      </w:r>
    </w:p>
    <w:p>
      <w:pPr>
        <w:spacing w:after="0"/>
      </w:pPr>
      <w:r>
        <w:rPr>
          <w:rFonts w:ascii="Courier New" w:hAnsi="Courier New" w:cs="Courier New"/>
          <w:sz w:val="20"/>
        </w:rPr>
        <w:t xml:space="preserve">Approved by:   [awaiting MLRO approval]</w:t>
      </w:r>
    </w:p>
    <w:p>
      <w:pPr>
        <w:spacing w:after="0"/>
      </w:pPr>
    </w:p>
    <w:p>
      <w:pPr>
        <w:spacing w:after="0"/>
      </w:pPr>
      <w:r>
        <w:rPr>
          <w:rFonts w:ascii="Courier New" w:hAnsi="Courier New" w:cs="Courier New"/>
          <w:sz w:val="20"/>
        </w:rPr>
        <w:t xml:space="preserve">For review by the MLRO, LF.</w:t>
      </w:r>
    </w:p>
    <w:p>
      <w:pPr>
        <w:spacing w:after="0"/>
      </w:pPr>
    </w:p>
    <w:p>
      <w:pPr>
        <w:spacing w:after="0"/>
      </w:pPr>
      <w:r>
        <w:rPr>
          <w:rFonts w:ascii="Courier New" w:hAnsi="Courier New" w:cs="Courier New"/>
          <w:sz w:val="20"/>
        </w:rPr>
        <w:t xml:space="preserve">[End of document]</w:t>
      </w:r>
    </w:p>
    <w:sectPr>
      <w:pgSz w:w="12240" w:h="15840"/>
      <w:pgMar w:top="1080" w:right="1080" w:bottom="1080" w:left="1080" w:header="720" w:footer="720" w:gutter="0"/>
    </w:sectPr>
  </w:body>
</w:document>
</file>