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MONITORING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HSV2-TXM-2026-04-14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Monitoring run 2026-04-14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processed 0 transaction(s) from the transaction register today.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Each transaction was tested against eight rule-based detection patterns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plus a rolling thirty-day cash aggregation check per counterparty.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DETECTION RULES APPLIED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DPMSR trigger: cash component at or above the reporting threshold.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Structuring indicator: cash component just below the threshold.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Round amount: total consideration is a round figure (AED 10k increments).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High-risk jurisdiction: counterparty or transaction linked to a FATF grey-list or sanctioned jurisdiction.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5. All-cash settlement: entire transaction settled in cash above AED 15,000.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6. Same-day aggregation: multiple transactions with the same counterparty on the same day exceeding the threshold in aggregate.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7. Rapid frequency: three or more transactions with the same counterparty within seven days.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8. Unusual payment method: hawala, cryptocurrency, virtual currency, bearer instrument.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9. Rolling thirty-day aggregation: cumulative cash across all transactions with the same counterparty over any thirty-day window.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SUMMARY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Metric                        Count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transactions processed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Transactions flagged 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30-day alerts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distinct alerts         0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ALERTS BY RULE TYPE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alerts triggered today.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alerts. File this monitoring record. Repeat tomorrow.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