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CHANGE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HSV2-REG-IMPACT-2026-04-15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Regulatory monitoring day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impact assessment covers 2 regulatory change(s) detected by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regulatory-watcher on 2026-04-15. Each change is classified by its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potential impact on the firm's AML/CFT controls, procedures and training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materials. The MLRO must review each classification and record a formal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action where warranted.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 impact  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 impact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Low impact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changes assessed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  Executive Office for Cont  high    Change from a primary sanctions or standard-setting body. May require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  Ministry of Economy  medium  Change from a supervisory authority. May require updates to internal 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REQUIRED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HIGH: Every high-impact change must be reviewed by the MLRO within one business day. Open a task in the compliance workspace with a clear owner, deadline and remediation plan.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MEDIUM: Every medium-impact change must be reviewed within five business days. Update internal procedures, training materials or reporting templates as needed.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low-impact changes detected.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 all response actions and retain this assessment for the full ten-year retention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