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WEEKLY FILINGS SUMMARY</w:t>
      </w:r>
    </w:p>
    <w:p>
      <w:pPr>
        <w:spacing w:after="0"/>
      </w:pPr>
      <w:r>
        <w:rPr>
          <w:rFonts w:ascii="Courier New" w:hAnsi="Courier New" w:cs="Courier New"/>
          <w:sz w:val="20"/>
        </w:rPr>
        <w:t xml:space="preserve">Week 2026-W16, ending 2026-04-17</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HSV2-WFS-2026-W16</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2026-04-17, 17:30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2026-04-11 to 2026-04-17 inclusive, 0 drafts produced</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is the Weekly Filings Summary for the Reporting Entity for week 2026-W16, covering the period 2026-04-11 to 2026-04-17.</w:t>
      </w:r>
    </w:p>
    <w:p>
      <w:pPr>
        <w:spacing w:after="0"/>
      </w:pPr>
    </w:p>
    <w:p>
      <w:pPr>
        <w:spacing w:after="0"/>
      </w:pPr>
      <w:r>
        <w:rPr>
          <w:rFonts w:ascii="Courier New" w:hAnsi="Courier New" w:cs="Courier New"/>
          <w:sz w:val="20"/>
        </w:rPr>
        <w:t xml:space="preserve">FILINGS PRODUCED THIS WEEK</w:t>
      </w:r>
    </w:p>
    <w:p>
      <w:pPr>
        <w:spacing w:after="0"/>
      </w:pPr>
    </w:p>
    <w:p>
      <w:pPr>
        <w:spacing w:after="0"/>
      </w:pPr>
      <w:r>
        <w:rPr>
          <w:rFonts w:ascii="Courier New" w:hAnsi="Courier New" w:cs="Courier New"/>
          <w:sz w:val="20"/>
        </w:rPr>
        <w:t xml:space="preserve">No filing drafts were produced by the automation during the week. The absence of drafts does not indicate a control failure. The automation only generates filing drafts when the detector flags a candidate transaction or customer record for review and the filing-mode configuration permits a draft to be issued for that filing category.</w:t>
      </w:r>
    </w:p>
    <w:p>
      <w:pPr>
        <w:spacing w:after="0"/>
      </w:pPr>
    </w:p>
    <w:p>
      <w:pPr>
        <w:spacing w:after="0"/>
      </w:pPr>
      <w:r>
        <w:rPr>
          <w:rFonts w:ascii="Courier New" w:hAnsi="Courier New" w:cs="Courier New"/>
          <w:sz w:val="20"/>
        </w:rPr>
        <w:t xml:space="preserve">MLRO REVIEW POINTS</w:t>
      </w:r>
    </w:p>
    <w:p>
      <w:pPr>
        <w:spacing w:after="0"/>
      </w:pPr>
    </w:p>
    <w:p>
      <w:pPr>
        <w:spacing w:after="0"/>
      </w:pPr>
      <w:r>
        <w:rPr>
          <w:rFonts w:ascii="Courier New" w:hAnsi="Courier New" w:cs="Courier New"/>
          <w:sz w:val="20"/>
        </w:rPr>
        <w:t xml:space="preserve">The MLRO may use this quiet week as an opportunity to verify that the detector is active across all six filing programmes (Suspicious Transaction Reports, Suspicious Activity Reports, Dealers in Precious Metals and Stones Reports, Partial Name Match Reports, Funds Freeze Reports, and Customer Risk Updates) and that filing-mode.json reflects the current operational intent for each. Confirm detector activation and filing-mode settings within this week.</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