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COMPLIANCE DEADLINE CALENDAR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HSV2-CAL-2026-04-09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Calendar view as of 2026-04-09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reviewed the compliance deadline calendar today. The calendar is maintained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scripts/deadlines.json and covers annual regulatory submissions, internal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control refresh dates and any MLRO-specific commitments that require a fixed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delivery 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Bucket          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             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Critical (0 to 7 days)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Warning (8 to 30 days)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Approaching (31 to 90 days)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Unscheduled (no date on file)  1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tracked deadlines        5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CRITICAL (due within seven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WARNING (due within thirty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APPROACHING (due within ninety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UNSCHEDULED (no date on file)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Deadline                                               Category               Due date  Days  Owner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  ---------------------  --------  ----  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DNFBP Self-Assessment Questionnaire submission to MOE  regulatory-submission                  the MLRO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deadline is currently overdue.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Every critical deadline must have a named owner working on it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Every warning deadline must have a plan of action with at least one completed step.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every unscheduled deadline, obtain the governing date from the relevant authority or internal policy and populate the due field in deadlines.json.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