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CHANGE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HSV2-REG-IMPACT-2026-04-08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Regulatory monitoring day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impact assessment covers 2 regulatory change(s) detected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regulatory-watcher on 2026-04-08. Each change is classified by its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potential impact on the firm's AML/CFT controls, procedures and training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materials. The MLRO must review each classification and record a formal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action where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 impact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 impact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Low impact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changes assessed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  Executive Office for Cont  high    Change from a primary sanctions or standard-setting body. May require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  Ministry of Economy  medium  Change from a supervisory authority. May require updates to internal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HIGH: Every high-impact change must be reviewed by the MLRO within one business day. Open a task in the compliance workspace with a clear owner, deadline and remediation plan.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MEDIUM: Every medium-impact change must be reviewed within five business days. Update internal procedures, training materials or reporting templates as needed.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low-impact changes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response actions and retain this assessment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