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BRANCH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HSV2-DER-2026-04-16-FG_BRANCH_-_COMPLIAN</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FG BRANCH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96   </w:t>
      </w:r>
    </w:p>
    <w:p>
      <w:pPr>
        <w:spacing w:after="0"/>
      </w:pPr>
      <w:r>
        <w:rPr>
          <w:rFonts w:ascii="Courier New" w:hAnsi="Courier New" w:cs="Courier New"/>
          <w:sz w:val="20"/>
        </w:rPr>
        <w:t xml:space="preserve">sanctions             61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dpmsrTrigger          33   </w:t>
      </w:r>
    </w:p>
    <w:p>
      <w:pPr>
        <w:spacing w:after="0"/>
      </w:pPr>
      <w:r>
        <w:rPr>
          <w:rFonts w:ascii="Courier New" w:hAnsi="Courier New" w:cs="Courier New"/>
          <w:sz w:val="20"/>
        </w:rPr>
        <w:t xml:space="preserve">cash                  32   </w:t>
      </w:r>
    </w:p>
    <w:p>
      <w:pPr>
        <w:spacing w:after="0"/>
      </w:pPr>
      <w:r>
        <w:rPr>
          <w:rFonts w:ascii="Courier New" w:hAnsi="Courier New" w:cs="Courier New"/>
          <w:sz w:val="20"/>
        </w:rPr>
        <w:t xml:space="preserve">escalation            24   </w:t>
      </w:r>
    </w:p>
    <w:p>
      <w:pPr>
        <w:spacing w:after="0"/>
      </w:pPr>
      <w:r>
        <w:rPr>
          <w:rFonts w:ascii="Courier New" w:hAnsi="Courier New" w:cs="Courier New"/>
          <w:sz w:val="20"/>
        </w:rPr>
        <w:t xml:space="preserve">recycledGold          23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pep                   9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FG BRANCH COMPLIANCE PROGRAMME 2026</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16 APRIL 2026</w:t>
      </w:r>
    </w:p>
    <w:p>
      <w:pPr>
        <w:spacing w:after="0"/>
      </w:pPr>
    </w:p>
    <w:p>
      <w:pPr>
        <w:spacing w:after="0"/>
      </w:pPr>
      <w:r>
        <w:rPr>
          <w:rFonts w:ascii="Courier New" w:hAnsi="Courier New" w:cs="Courier New"/>
          <w:sz w:val="20"/>
        </w:rPr>
        <w:t xml:space="preserve">COMPLIANCE BOOK STATUS</w:t>
      </w:r>
    </w:p>
    <w:p>
      <w:pPr>
        <w:spacing w:after="0"/>
      </w:pPr>
    </w:p>
    <w:p>
      <w:pPr>
        <w:spacing w:after="0"/>
      </w:pPr>
      <w:r>
        <w:rPr>
          <w:rFonts w:ascii="Courier New" w:hAnsi="Courier New" w:cs="Courier New"/>
          <w:sz w:val="20"/>
        </w:rPr>
        <w:t xml:space="preserve">The compliance book holds one open item with no overdue or at-risk items as of close of business today. We completed no items in the last 24 hours and raised no new items.</w:t>
      </w:r>
    </w:p>
    <w:p>
      <w:pPr>
        <w:spacing w:after="0"/>
      </w:pPr>
    </w:p>
    <w:p>
      <w:pPr>
        <w:spacing w:after="0"/>
      </w:pPr>
      <w:r>
        <w:rPr>
          <w:rFonts w:ascii="Courier New" w:hAnsi="Courier New" w:cs="Courier New"/>
          <w:sz w:val="20"/>
        </w:rPr>
        <w:t xml:space="preserve">TYPOLOGY ANALYSIS</w:t>
      </w:r>
    </w:p>
    <w:p>
      <w:pPr>
        <w:spacing w:after="0"/>
      </w:pPr>
    </w:p>
    <w:p>
      <w:pPr>
        <w:spacing w:after="0"/>
      </w:pPr>
      <w:r>
        <w:rPr>
          <w:rFonts w:ascii="Courier New" w:hAnsi="Courier New" w:cs="Courier New"/>
          <w:sz w:val="20"/>
        </w:rPr>
        <w:t xml:space="preserve">Typology matches today total 254 alerts across the monitoring suite. Cross-border transaction patterns generated 96 matches, the largest single category, indicating elevated activity on routes we monitor. Sanctions and PEP screening together produced 70 matches, of which 61 are sanctions-related. Cash transaction patterns yielded 32 matches against the cash transaction threshold specified by the DPMSR framework. DPMS Report triggers stand at 33. Training alerts account for 44 matches, principally reflecting routine compliance training logs. Escalation matters number 24. High-risk jurisdiction screening produced 10 matches. Recycled gold sourcing generated 23 matches. CDD gaps appear in 8 instances, third-party risk in 19 instances, unusual transaction patterns in 5 instances, and precious stones screening in 1 instance. One stalled matter remains in the book. Red-flag items are present in the current dataset and require MLRO review.</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Isolate the 61 sanctions matches and cross-reference against the UN Security Council Consolidated List and the UAE Local Terrorist List to confirm accuracy. Review the 24 escalation items and determine whether any warrant immediate suspicious activity reporting to the Financial Intelligence Unit through the goAML platform. Conduct a detailed examination of the 8 CDD gaps to confirm remediation status and raise EDD where warranted. Submit this summary to the MLRO for direction on the red-flag items present.</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