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DAILY COMPLIANCE REPORT</w:t>
      </w:r>
    </w:p>
    <w:p>
      <w:pPr>
        <w:spacing w:after="0"/>
      </w:pPr>
      <w:r>
        <w:rPr>
          <w:rFonts w:ascii="Courier New" w:hAnsi="Courier New" w:cs="Courier New"/>
          <w:sz w:val="20"/>
        </w:rPr>
        <w:t xml:space="preserve">FG LLC - COMPLIANCE PROGRAMME 2026</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HSV2-DER-2026-04-16-FG_LLC_-_COMPLIANCE_</w:t>
      </w:r>
    </w:p>
    <w:p>
      <w:pPr>
        <w:spacing w:after="0"/>
      </w:pPr>
      <w:r>
        <w:rPr>
          <w:rFonts w:ascii="Courier New" w:hAnsi="Courier New" w:cs="Courier New"/>
          <w:sz w:val="20"/>
        </w:rPr>
        <w:t xml:space="preserve">Classification:       Confidential. For MLRO review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2026-04-16</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Operational day ending 2026-04-16</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ENTITY IDENTIFICATION</w:t>
      </w:r>
    </w:p>
    <w:p>
      <w:pPr>
        <w:spacing w:after="0"/>
      </w:pPr>
    </w:p>
    <w:p>
      <w:pPr>
        <w:spacing w:after="0"/>
      </w:pPr>
      <w:r>
        <w:rPr>
          <w:rFonts w:ascii="Courier New" w:hAnsi="Courier New" w:cs="Courier New"/>
          <w:sz w:val="20"/>
        </w:rPr>
        <w:t xml:space="preserve">Reporting entity: FG LLC - COMPLIANCE PROGRAMME 2026</w:t>
      </w:r>
    </w:p>
    <w:p>
      <w:pPr>
        <w:spacing w:after="0"/>
      </w:pPr>
      <w:r>
        <w:rPr>
          <w:rFonts w:ascii="Courier New" w:hAnsi="Courier New" w:cs="Courier New"/>
          <w:sz w:val="20"/>
        </w:rPr>
        <w:t xml:space="preserve">Sector: Dealer in Precious Metals and Stones (DPMS)</w:t>
      </w:r>
    </w:p>
    <w:p>
      <w:pPr>
        <w:spacing w:after="0"/>
      </w:pPr>
      <w:r>
        <w:rPr>
          <w:rFonts w:ascii="Courier New" w:hAnsi="Courier New" w:cs="Courier New"/>
          <w:sz w:val="20"/>
        </w:rPr>
        <w:t xml:space="preserve">Classification: Designated Non-Financial Business and Profession (DNFBP)</w:t>
      </w:r>
    </w:p>
    <w:p>
      <w:pPr>
        <w:spacing w:after="0"/>
      </w:pPr>
      <w:r>
        <w:rPr>
          <w:rFonts w:ascii="Courier New" w:hAnsi="Courier New" w:cs="Courier New"/>
          <w:sz w:val="20"/>
        </w:rPr>
        <w:t xml:space="preserve">Supervisor: Ministry of Economy (MOE)</w:t>
      </w:r>
    </w:p>
    <w:p>
      <w:pPr>
        <w:spacing w:after="0"/>
      </w:pPr>
    </w:p>
    <w:p>
      <w:pPr>
        <w:spacing w:after="0"/>
      </w:pPr>
      <w:r>
        <w:rPr>
          <w:rFonts w:ascii="Courier New" w:hAnsi="Courier New" w:cs="Courier New"/>
          <w:sz w:val="20"/>
        </w:rPr>
        <w:t xml:space="preserve">OPEN EXPOSURE SNAPSHOT</w:t>
      </w:r>
    </w:p>
    <w:p>
      <w:pPr>
        <w:spacing w:after="0"/>
      </w:pPr>
    </w:p>
    <w:p>
      <w:pPr>
        <w:spacing w:after="0"/>
      </w:pPr>
      <w:r>
        <w:rPr>
          <w:rFonts w:ascii="Courier New" w:hAnsi="Courier New" w:cs="Courier New"/>
          <w:sz w:val="20"/>
        </w:rPr>
        <w:t xml:space="preserve">Metric               Count</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Open items           0    </w:t>
      </w:r>
    </w:p>
    <w:p>
      <w:pPr>
        <w:spacing w:after="0"/>
      </w:pPr>
      <w:r>
        <w:rPr>
          <w:rFonts w:ascii="Courier New" w:hAnsi="Courier New" w:cs="Courier New"/>
          <w:sz w:val="20"/>
        </w:rPr>
        <w:t xml:space="preserve">Overdue items        0    </w:t>
      </w:r>
    </w:p>
    <w:p>
      <w:pPr>
        <w:spacing w:after="0"/>
      </w:pPr>
      <w:r>
        <w:rPr>
          <w:rFonts w:ascii="Courier New" w:hAnsi="Courier New" w:cs="Courier New"/>
          <w:sz w:val="20"/>
        </w:rPr>
        <w:t xml:space="preserve">At-risk items (48h)  0    </w:t>
      </w:r>
    </w:p>
    <w:p>
      <w:pPr>
        <w:spacing w:after="0"/>
      </w:pPr>
      <w:r>
        <w:rPr>
          <w:rFonts w:ascii="Courier New" w:hAnsi="Courier New" w:cs="Courier New"/>
          <w:sz w:val="20"/>
        </w:rPr>
        <w:t xml:space="preserve">Closed in last 24h   0    </w:t>
      </w:r>
    </w:p>
    <w:p>
      <w:pPr>
        <w:spacing w:after="0"/>
      </w:pPr>
      <w:r>
        <w:rPr>
          <w:rFonts w:ascii="Courier New" w:hAnsi="Courier New" w:cs="Courier New"/>
          <w:sz w:val="20"/>
        </w:rPr>
        <w:t xml:space="preserve">New in last 24h      0    </w:t>
      </w:r>
    </w:p>
    <w:p>
      <w:pPr>
        <w:spacing w:after="0"/>
      </w:pPr>
    </w:p>
    <w:p>
      <w:pPr>
        <w:spacing w:after="0"/>
      </w:pPr>
      <w:r>
        <w:rPr>
          <w:rFonts w:ascii="Courier New" w:hAnsi="Courier New" w:cs="Courier New"/>
          <w:sz w:val="20"/>
        </w:rPr>
        <w:t xml:space="preserve">TYPOLOGY DISTRIBUTION TODAY</w:t>
      </w:r>
    </w:p>
    <w:p>
      <w:pPr>
        <w:spacing w:after="0"/>
      </w:pPr>
    </w:p>
    <w:p>
      <w:pPr>
        <w:spacing w:after="0"/>
      </w:pPr>
      <w:r>
        <w:rPr>
          <w:rFonts w:ascii="Courier New" w:hAnsi="Courier New" w:cs="Courier New"/>
          <w:sz w:val="20"/>
        </w:rPr>
        <w:t xml:space="preserve">Typology              Tasks</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crossBorder           101  </w:t>
      </w:r>
    </w:p>
    <w:p>
      <w:pPr>
        <w:spacing w:after="0"/>
      </w:pPr>
      <w:r>
        <w:rPr>
          <w:rFonts w:ascii="Courier New" w:hAnsi="Courier New" w:cs="Courier New"/>
          <w:sz w:val="20"/>
        </w:rPr>
        <w:t xml:space="preserve">training              68   </w:t>
      </w:r>
    </w:p>
    <w:p>
      <w:pPr>
        <w:spacing w:after="0"/>
      </w:pPr>
      <w:r>
        <w:rPr>
          <w:rFonts w:ascii="Courier New" w:hAnsi="Courier New" w:cs="Courier New"/>
          <w:sz w:val="20"/>
        </w:rPr>
        <w:t xml:space="preserve">sanctions             62   </w:t>
      </w:r>
    </w:p>
    <w:p>
      <w:pPr>
        <w:spacing w:after="0"/>
      </w:pPr>
      <w:r>
        <w:rPr>
          <w:rFonts w:ascii="Courier New" w:hAnsi="Courier New" w:cs="Courier New"/>
          <w:sz w:val="20"/>
        </w:rPr>
        <w:t xml:space="preserve">cash                  38   </w:t>
      </w:r>
    </w:p>
    <w:p>
      <w:pPr>
        <w:spacing w:after="0"/>
      </w:pPr>
      <w:r>
        <w:rPr>
          <w:rFonts w:ascii="Courier New" w:hAnsi="Courier New" w:cs="Courier New"/>
          <w:sz w:val="20"/>
        </w:rPr>
        <w:t xml:space="preserve">dpmsrTrigger          38   </w:t>
      </w:r>
    </w:p>
    <w:p>
      <w:pPr>
        <w:spacing w:after="0"/>
      </w:pPr>
      <w:r>
        <w:rPr>
          <w:rFonts w:ascii="Courier New" w:hAnsi="Courier New" w:cs="Courier New"/>
          <w:sz w:val="20"/>
        </w:rPr>
        <w:t xml:space="preserve">escalation            28   </w:t>
      </w:r>
    </w:p>
    <w:p>
      <w:pPr>
        <w:spacing w:after="0"/>
      </w:pPr>
      <w:r>
        <w:rPr>
          <w:rFonts w:ascii="Courier New" w:hAnsi="Courier New" w:cs="Courier New"/>
          <w:sz w:val="20"/>
        </w:rPr>
        <w:t xml:space="preserve">thirdParty            27   </w:t>
      </w:r>
    </w:p>
    <w:p>
      <w:pPr>
        <w:spacing w:after="0"/>
      </w:pPr>
      <w:r>
        <w:rPr>
          <w:rFonts w:ascii="Courier New" w:hAnsi="Courier New" w:cs="Courier New"/>
          <w:sz w:val="20"/>
        </w:rPr>
        <w:t xml:space="preserve">recycledGold          23   </w:t>
      </w:r>
    </w:p>
    <w:p>
      <w:pPr>
        <w:spacing w:after="0"/>
      </w:pPr>
      <w:r>
        <w:rPr>
          <w:rFonts w:ascii="Courier New" w:hAnsi="Courier New" w:cs="Courier New"/>
          <w:sz w:val="20"/>
        </w:rPr>
        <w:t xml:space="preserve">pep                   12   </w:t>
      </w:r>
    </w:p>
    <w:p>
      <w:pPr>
        <w:spacing w:after="0"/>
      </w:pPr>
      <w:r>
        <w:rPr>
          <w:rFonts w:ascii="Courier New" w:hAnsi="Courier New" w:cs="Courier New"/>
          <w:sz w:val="20"/>
        </w:rPr>
        <w:t xml:space="preserve">cddGap                10   </w:t>
      </w:r>
    </w:p>
    <w:p>
      <w:pPr>
        <w:spacing w:after="0"/>
      </w:pPr>
      <w:r>
        <w:rPr>
          <w:rFonts w:ascii="Courier New" w:hAnsi="Courier New" w:cs="Courier New"/>
          <w:sz w:val="20"/>
        </w:rPr>
        <w:t xml:space="preserve">highRiskJurisdiction  9    </w:t>
      </w:r>
    </w:p>
    <w:p>
      <w:pPr>
        <w:spacing w:after="0"/>
      </w:pPr>
      <w:r>
        <w:rPr>
          <w:rFonts w:ascii="Courier New" w:hAnsi="Courier New" w:cs="Courier New"/>
          <w:sz w:val="20"/>
        </w:rPr>
        <w:t xml:space="preserve">unusualPattern        5    </w:t>
      </w:r>
    </w:p>
    <w:p>
      <w:pPr>
        <w:spacing w:after="0"/>
      </w:pPr>
      <w:r>
        <w:rPr>
          <w:rFonts w:ascii="Courier New" w:hAnsi="Courier New" w:cs="Courier New"/>
          <w:sz w:val="20"/>
        </w:rPr>
        <w:t xml:space="preserve">stalled               2    </w:t>
      </w:r>
    </w:p>
    <w:p>
      <w:pPr>
        <w:spacing w:after="0"/>
      </w:pPr>
      <w:r>
        <w:rPr>
          <w:rFonts w:ascii="Courier New" w:hAnsi="Courier New" w:cs="Courier New"/>
          <w:sz w:val="20"/>
        </w:rPr>
        <w:t xml:space="preserve">preciousStones        1    </w:t>
      </w:r>
    </w:p>
    <w:p>
      <w:pPr>
        <w:spacing w:after="0"/>
      </w:pPr>
    </w:p>
    <w:p>
      <w:pPr>
        <w:spacing w:after="0"/>
      </w:pPr>
      <w:r>
        <w:rPr>
          <w:rFonts w:ascii="Courier New" w:hAnsi="Courier New" w:cs="Courier New"/>
          <w:sz w:val="20"/>
        </w:rPr>
        <w:t xml:space="preserve">OVERDUE ITEMS REQUIRING ATTENTION</w:t>
      </w:r>
    </w:p>
    <w:p>
      <w:pPr>
        <w:spacing w:after="0"/>
      </w:pPr>
    </w:p>
    <w:p>
      <w:pPr>
        <w:spacing w:after="0"/>
      </w:pPr>
      <w:r>
        <w:rPr>
          <w:rFonts w:ascii="Courier New" w:hAnsi="Courier New" w:cs="Courier New"/>
          <w:sz w:val="20"/>
        </w:rPr>
        <w:t xml:space="preserve">(no overdue items)</w:t>
      </w:r>
    </w:p>
    <w:p>
      <w:pPr>
        <w:spacing w:after="0"/>
      </w:pPr>
    </w:p>
    <w:p>
      <w:pPr>
        <w:spacing w:after="0"/>
      </w:pPr>
      <w:r>
        <w:rPr>
          <w:rFonts w:ascii="Courier New" w:hAnsi="Courier New" w:cs="Courier New"/>
          <w:sz w:val="20"/>
        </w:rPr>
        <w:t xml:space="preserve">RED-FLAG ITEMS RAISED OR OPEN</w:t>
      </w:r>
    </w:p>
    <w:p>
      <w:pPr>
        <w:spacing w:after="0"/>
      </w:pPr>
    </w:p>
    <w:p>
      <w:pPr>
        <w:spacing w:after="0"/>
      </w:pPr>
      <w:r>
        <w:rPr>
          <w:rFonts w:ascii="Courier New" w:hAnsi="Courier New" w:cs="Courier New"/>
          <w:sz w:val="20"/>
        </w:rPr>
        <w:t xml:space="preserve">(no red-flag tags matched today)</w:t>
      </w:r>
    </w:p>
    <w:p>
      <w:pPr>
        <w:spacing w:after="0"/>
      </w:pPr>
    </w:p>
    <w:p>
      <w:pPr>
        <w:spacing w:after="0"/>
      </w:pPr>
      <w:r>
        <w:rPr>
          <w:rFonts w:ascii="Courier New" w:hAnsi="Courier New" w:cs="Courier New"/>
          <w:sz w:val="20"/>
        </w:rPr>
        <w:t xml:space="preserve">ANALYTICAL COMMENTARY</w:t>
      </w:r>
    </w:p>
    <w:p>
      <w:pPr>
        <w:spacing w:after="0"/>
      </w:pPr>
    </w:p>
    <w:p>
      <w:pPr>
        <w:spacing w:after="0"/>
      </w:pPr>
      <w:r>
        <w:rPr>
          <w:rFonts w:ascii="Courier New" w:hAnsi="Courier New" w:cs="Courier New"/>
          <w:sz w:val="20"/>
        </w:rPr>
        <w:t xml:space="preserve">DAILY COMPLIANCE REPORT</w:t>
      </w:r>
    </w:p>
    <w:p>
      <w:pPr>
        <w:spacing w:after="0"/>
      </w:pPr>
      <w:r>
        <w:rPr>
          <w:rFonts w:ascii="Courier New" w:hAnsi="Courier New" w:cs="Courier New"/>
          <w:sz w:val="20"/>
        </w:rPr>
        <w:t xml:space="preserve">FG LLC COMPLIANCE PROGRAMME 2026</w:t>
      </w:r>
    </w:p>
    <w:p>
      <w:pPr>
        <w:spacing w:after="0"/>
      </w:pPr>
      <w:r>
        <w:rPr>
          <w:rFonts w:ascii="Courier New" w:hAnsi="Courier New" w:cs="Courier New"/>
          <w:sz w:val="20"/>
        </w:rPr>
        <w:t xml:space="preserve">16 APRIL 2026</w:t>
      </w:r>
    </w:p>
    <w:p>
      <w:pPr>
        <w:spacing w:after="0"/>
      </w:pPr>
    </w:p>
    <w:p>
      <w:pPr>
        <w:spacing w:after="0"/>
      </w:pPr>
      <w:r>
        <w:rPr>
          <w:rFonts w:ascii="Courier New" w:hAnsi="Courier New" w:cs="Courier New"/>
          <w:sz w:val="20"/>
        </w:rPr>
        <w:t xml:space="preserve">OPERATIONAL STATUS</w:t>
      </w:r>
    </w:p>
    <w:p>
      <w:pPr>
        <w:spacing w:after="0"/>
      </w:pPr>
    </w:p>
    <w:p>
      <w:pPr>
        <w:spacing w:after="0"/>
      </w:pPr>
      <w:r>
        <w:rPr>
          <w:rFonts w:ascii="Courier New" w:hAnsi="Courier New" w:cs="Courier New"/>
          <w:sz w:val="20"/>
        </w:rPr>
        <w:t xml:space="preserve">The compliance book contains no open, overdue or at-risk items as of today. No new compliance items were raised in the last 24 hours and no items were completed in that period.</w:t>
      </w:r>
    </w:p>
    <w:p>
      <w:pPr>
        <w:spacing w:after="0"/>
      </w:pPr>
    </w:p>
    <w:p>
      <w:pPr>
        <w:spacing w:after="0"/>
      </w:pPr>
      <w:r>
        <w:rPr>
          <w:rFonts w:ascii="Courier New" w:hAnsi="Courier New" w:cs="Courier New"/>
          <w:sz w:val="20"/>
        </w:rPr>
        <w:t xml:space="preserve">TYPOLOGY ALERTS REQUIRING MLRO ATTENTION</w:t>
      </w:r>
    </w:p>
    <w:p>
      <w:pPr>
        <w:spacing w:after="0"/>
      </w:pPr>
    </w:p>
    <w:p>
      <w:pPr>
        <w:spacing w:after="0"/>
      </w:pPr>
      <w:r>
        <w:rPr>
          <w:rFonts w:ascii="Courier New" w:hAnsi="Courier New" w:cs="Courier New"/>
          <w:sz w:val="20"/>
        </w:rPr>
        <w:t xml:space="preserve">We have identified 348 typology matches today across eleven distinct risk categories. The largest clusters are cross-border transaction patterns (101 matches), sanctions screening alerts (62 matches), cash transaction triggers (38 matches) and DPMSR framework triggers (38 matches). Secondary clusters include training completion gaps (68 matches), third-party risk flags (27 matches), escalation flags (28 matches) and recycled gold sourcing indicators (23 matches). We have also recorded 12 politically exposed person matches, 10 customer due diligence gaps, 9 high-risk jurisdiction exposures, 5 unusual transaction patterns, 2 stalled case files and 1 precious stones risk indicator. Red-flag items remain present in the system.</w:t>
      </w:r>
    </w:p>
    <w:p>
      <w:pPr>
        <w:spacing w:after="0"/>
      </w:pPr>
    </w:p>
    <w:p>
      <w:pPr>
        <w:spacing w:after="0"/>
      </w:pPr>
      <w:r>
        <w:rPr>
          <w:rFonts w:ascii="Courier New" w:hAnsi="Courier New" w:cs="Courier New"/>
          <w:sz w:val="20"/>
        </w:rPr>
        <w:t xml:space="preserve">NEXT ACTIONS</w:t>
      </w:r>
    </w:p>
    <w:p>
      <w:pPr>
        <w:spacing w:after="0"/>
      </w:pPr>
    </w:p>
    <w:p>
      <w:pPr>
        <w:spacing w:after="0"/>
      </w:pPr>
      <w:r>
        <w:rPr>
          <w:rFonts w:ascii="Courier New" w:hAnsi="Courier New" w:cs="Courier New"/>
          <w:sz w:val="20"/>
        </w:rPr>
        <w:t xml:space="preserve">Prioritise sanctions screening alert review to ensure full compliance with the UN Security Council Consolidated List and the UAE Local Terrorist List. Review all DPMSR triggers against the cash transaction threshold specified by the DPMSR framework and prepare reports for the Financial Intelligence Unit where thresholds are exceeded. Verify all customer due diligence gaps have remediation plans in place and escalate unresolved gaps to the MLRO by close of business today. Report the status of stalled case files to the MLRO with recommended remedial actions.</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ITEMS REQUIRING MLRO DECISION BEFORE END OF DAY</w:t>
      </w:r>
    </w:p>
    <w:p>
      <w:pPr>
        <w:spacing w:after="0"/>
      </w:pPr>
    </w:p>
    <w:p>
      <w:pPr>
        <w:spacing w:after="0"/>
      </w:pPr>
      <w:r>
        <w:rPr>
          <w:rFonts w:ascii="Courier New" w:hAnsi="Courier New" w:cs="Courier New"/>
          <w:sz w:val="20"/>
        </w:rPr>
        <w:t xml:space="preserve">One or more items above are flagged for MLRO attention. The MLRO is asked to review the red-flag table and the overdue table and to direct the compliance function accordingly.</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