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GRAMALTIN AS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HSV2-DER-2026-04-16-GRAMALTIN_AS_-_COMPL</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2026-04-16</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2026-04-16</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GRAMALTIN AS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0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94   </w:t>
      </w:r>
    </w:p>
    <w:p>
      <w:pPr>
        <w:spacing w:after="0"/>
      </w:pPr>
      <w:r>
        <w:rPr>
          <w:rFonts w:ascii="Courier New" w:hAnsi="Courier New" w:cs="Courier New"/>
          <w:sz w:val="20"/>
        </w:rPr>
        <w:t xml:space="preserve">sanctions             58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cash                  31   </w:t>
      </w:r>
    </w:p>
    <w:p>
      <w:pPr>
        <w:spacing w:after="0"/>
      </w:pPr>
      <w:r>
        <w:rPr>
          <w:rFonts w:ascii="Courier New" w:hAnsi="Courier New" w:cs="Courier New"/>
          <w:sz w:val="20"/>
        </w:rPr>
        <w:t xml:space="preserve">dpmsrTrigger          30   </w:t>
      </w:r>
    </w:p>
    <w:p>
      <w:pPr>
        <w:spacing w:after="0"/>
      </w:pPr>
      <w:r>
        <w:rPr>
          <w:rFonts w:ascii="Courier New" w:hAnsi="Courier New" w:cs="Courier New"/>
          <w:sz w:val="20"/>
        </w:rPr>
        <w:t xml:space="preserve">escalation            23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pep                   10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(no red-flag tags matched today)</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w:t>
      </w:r>
    </w:p>
    <w:p>
      <w:pPr>
        <w:spacing w:after="0"/>
      </w:pPr>
    </w:p>
    <w:p>
      <w:pPr>
        <w:spacing w:after="0"/>
      </w:pPr>
      <w:r>
        <w:rPr>
          <w:rFonts w:ascii="Courier New" w:hAnsi="Courier New" w:cs="Courier New"/>
          <w:sz w:val="20"/>
        </w:rPr>
        <w:t xml:space="preserve">GRAMALTIN AS, COMPLIANCE PROGRAMME 2026</w:t>
      </w:r>
    </w:p>
    <w:p>
      <w:pPr>
        <w:spacing w:after="0"/>
      </w:pPr>
    </w:p>
    <w:p>
      <w:pPr>
        <w:spacing w:after="0"/>
      </w:pPr>
      <w:r>
        <w:rPr>
          <w:rFonts w:ascii="Courier New" w:hAnsi="Courier New" w:cs="Courier New"/>
          <w:sz w:val="20"/>
        </w:rPr>
        <w:t xml:space="preserve">16 APRIL 2026</w:t>
      </w:r>
    </w:p>
    <w:p>
      <w:pPr>
        <w:spacing w:after="0"/>
      </w:pPr>
    </w:p>
    <w:p>
      <w:pPr>
        <w:spacing w:after="0"/>
      </w:pPr>
      <w:r>
        <w:rPr>
          <w:rFonts w:ascii="Courier New" w:hAnsi="Courier New" w:cs="Courier New"/>
          <w:sz w:val="20"/>
        </w:rPr>
        <w:t xml:space="preserve">STATE OF THE BOOK</w:t>
      </w:r>
    </w:p>
    <w:p>
      <w:pPr>
        <w:spacing w:after="0"/>
      </w:pPr>
    </w:p>
    <w:p>
      <w:pPr>
        <w:spacing w:after="0"/>
      </w:pPr>
      <w:r>
        <w:rPr>
          <w:rFonts w:ascii="Courier New" w:hAnsi="Courier New" w:cs="Courier New"/>
          <w:sz w:val="20"/>
        </w:rPr>
        <w:t xml:space="preserve">We record zero open items, zero overdue items, and zero items at-risk as of close of business on 16 April 2026. No items were completed or raised in the preceding 24 hours. The compliance workflow remains current and unencumbered.</w:t>
      </w:r>
    </w:p>
    <w:p>
      <w:pPr>
        <w:spacing w:after="0"/>
      </w:pPr>
    </w:p>
    <w:p>
      <w:pPr>
        <w:spacing w:after="0"/>
      </w:pPr>
      <w:r>
        <w:rPr>
          <w:rFonts w:ascii="Courier New" w:hAnsi="Courier New" w:cs="Courier New"/>
          <w:sz w:val="20"/>
        </w:rPr>
        <w:t xml:space="preserve">TYPOLOGIES REQUIRING ATTENTION</w:t>
      </w:r>
    </w:p>
    <w:p>
      <w:pPr>
        <w:spacing w:after="0"/>
      </w:pPr>
    </w:p>
    <w:p>
      <w:pPr>
        <w:spacing w:after="0"/>
      </w:pPr>
      <w:r>
        <w:rPr>
          <w:rFonts w:ascii="Courier New" w:hAnsi="Courier New" w:cs="Courier New"/>
          <w:sz w:val="20"/>
        </w:rPr>
        <w:t xml:space="preserve">The daily screening generated 245 typology matches across eleven risk categories. Cross-border transactions represent the largest volume at 94 matches, followed by sanctions screening at 58 matches and cash transaction alerts at 31 matches. These volumes are consistent with operational scale and warrant routine processing. However, three categories require escalation to the MLRO. Training compliance generated 44 matches, indicating incomplete or overdue training records that compromise the fitness of our AML/CFT framework under the Financial Action Task Force Recommendations. Recycled gold transactions generated 22 matches, reflecting the commodity-specific risks inherent to our Dealers in Precious Metals and Stones designation and requiring prompt review under the applicable targeted financial sanctions framework. Third-party screening generated 19 matches, indicating potential gaps in beneficial ownership and source-of-funds verification that demand Enhanced Due Diligence review. The presence of red-flag items compounds these concerns. Escalate all training matches to Senior Management and all recycled gold and third-party matches to the MLRO within one business day.</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Confirm that all training deficiencies have been remedied and lodge evidence in the compliance record within 48 hours. Review the 22 recycled gold matches against the UN Security Council Consolidated List and the UAE Local Terrorist List and document the results in the sanctions screening log. Conduct Enhanced Due Diligence on the 19 third-party matches and document the findings in the applicable Customer Due Diligence or Enhanced Due Diligence record. Investigate the red-flag items and report findings to the MLRO within two business days.</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