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MADISON LLC - COMPLIANCE PROGRAMME 2026</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HSV2-DER-2026-04-16-MADISON_LLC_-_COMPLI</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2026-04-16</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Operational day ending 2026-04-16</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ENTITY IDENTIFICATION</w:t>
      </w:r>
    </w:p>
    <w:p>
      <w:pPr>
        <w:spacing w:after="0"/>
      </w:pPr>
    </w:p>
    <w:p>
      <w:pPr>
        <w:spacing w:after="0"/>
      </w:pPr>
      <w:r>
        <w:rPr>
          <w:rFonts w:ascii="Courier New" w:hAnsi="Courier New" w:cs="Courier New"/>
          <w:sz w:val="20"/>
        </w:rPr>
        <w:t xml:space="preserve">Reporting entity: MADISON LLC - COMPLIANCE PROGRAMME 2026</w:t>
      </w:r>
    </w:p>
    <w:p>
      <w:pPr>
        <w:spacing w:after="0"/>
      </w:pPr>
      <w:r>
        <w:rPr>
          <w:rFonts w:ascii="Courier New" w:hAnsi="Courier New" w:cs="Courier New"/>
          <w:sz w:val="20"/>
        </w:rPr>
        <w:t xml:space="preserve">Sector: Dealer in Precious Metals and Stones (DPMS)</w:t>
      </w:r>
    </w:p>
    <w:p>
      <w:pPr>
        <w:spacing w:after="0"/>
      </w:pPr>
      <w:r>
        <w:rPr>
          <w:rFonts w:ascii="Courier New" w:hAnsi="Courier New" w:cs="Courier New"/>
          <w:sz w:val="20"/>
        </w:rPr>
        <w:t xml:space="preserve">Classification: Designated Non-Financial Business and Profession (DNFBP)</w:t>
      </w:r>
    </w:p>
    <w:p>
      <w:pPr>
        <w:spacing w:after="0"/>
      </w:pPr>
      <w:r>
        <w:rPr>
          <w:rFonts w:ascii="Courier New" w:hAnsi="Courier New" w:cs="Courier New"/>
          <w:sz w:val="20"/>
        </w:rPr>
        <w:t xml:space="preserve">Supervisor: Ministry of Economy (MOE)</w:t>
      </w:r>
    </w:p>
    <w:p>
      <w:pPr>
        <w:spacing w:after="0"/>
      </w:pPr>
    </w:p>
    <w:p>
      <w:pPr>
        <w:spacing w:after="0"/>
      </w:pPr>
      <w:r>
        <w:rPr>
          <w:rFonts w:ascii="Courier New" w:hAnsi="Courier New" w:cs="Courier New"/>
          <w:sz w:val="20"/>
        </w:rPr>
        <w:t xml:space="preserve">OPEN EXPOSURE SNAPSHOT</w:t>
      </w:r>
    </w:p>
    <w:p>
      <w:pPr>
        <w:spacing w:after="0"/>
      </w:pPr>
    </w:p>
    <w:p>
      <w:pPr>
        <w:spacing w:after="0"/>
      </w:pPr>
      <w:r>
        <w:rPr>
          <w:rFonts w:ascii="Courier New" w:hAnsi="Courier New" w:cs="Courier New"/>
          <w:sz w:val="20"/>
        </w:rPr>
        <w:t xml:space="preserve">Metric               Count</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Open items           1    </w:t>
      </w:r>
    </w:p>
    <w:p>
      <w:pPr>
        <w:spacing w:after="0"/>
      </w:pPr>
      <w:r>
        <w:rPr>
          <w:rFonts w:ascii="Courier New" w:hAnsi="Courier New" w:cs="Courier New"/>
          <w:sz w:val="20"/>
        </w:rPr>
        <w:t xml:space="preserve">Overdue items        0    </w:t>
      </w:r>
    </w:p>
    <w:p>
      <w:pPr>
        <w:spacing w:after="0"/>
      </w:pPr>
      <w:r>
        <w:rPr>
          <w:rFonts w:ascii="Courier New" w:hAnsi="Courier New" w:cs="Courier New"/>
          <w:sz w:val="20"/>
        </w:rPr>
        <w:t xml:space="preserve">At-risk items (48h)  0    </w:t>
      </w:r>
    </w:p>
    <w:p>
      <w:pPr>
        <w:spacing w:after="0"/>
      </w:pPr>
      <w:r>
        <w:rPr>
          <w:rFonts w:ascii="Courier New" w:hAnsi="Courier New" w:cs="Courier New"/>
          <w:sz w:val="20"/>
        </w:rPr>
        <w:t xml:space="preserve">Closed in last 24h   0    </w:t>
      </w:r>
    </w:p>
    <w:p>
      <w:pPr>
        <w:spacing w:after="0"/>
      </w:pPr>
      <w:r>
        <w:rPr>
          <w:rFonts w:ascii="Courier New" w:hAnsi="Courier New" w:cs="Courier New"/>
          <w:sz w:val="20"/>
        </w:rPr>
        <w:t xml:space="preserve">New in last 24h      0    </w:t>
      </w:r>
    </w:p>
    <w:p>
      <w:pPr>
        <w:spacing w:after="0"/>
      </w:pPr>
    </w:p>
    <w:p>
      <w:pPr>
        <w:spacing w:after="0"/>
      </w:pPr>
      <w:r>
        <w:rPr>
          <w:rFonts w:ascii="Courier New" w:hAnsi="Courier New" w:cs="Courier New"/>
          <w:sz w:val="20"/>
        </w:rPr>
        <w:t xml:space="preserve">TYPOLOGY DISTRIBUTION TODAY</w:t>
      </w:r>
    </w:p>
    <w:p>
      <w:pPr>
        <w:spacing w:after="0"/>
      </w:pPr>
    </w:p>
    <w:p>
      <w:pPr>
        <w:spacing w:after="0"/>
      </w:pPr>
      <w:r>
        <w:rPr>
          <w:rFonts w:ascii="Courier New" w:hAnsi="Courier New" w:cs="Courier New"/>
          <w:sz w:val="20"/>
        </w:rPr>
        <w:t xml:space="preserve">Typology              Tasks</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crossBorder           92   </w:t>
      </w:r>
    </w:p>
    <w:p>
      <w:pPr>
        <w:spacing w:after="0"/>
      </w:pPr>
      <w:r>
        <w:rPr>
          <w:rFonts w:ascii="Courier New" w:hAnsi="Courier New" w:cs="Courier New"/>
          <w:sz w:val="20"/>
        </w:rPr>
        <w:t xml:space="preserve">sanctions             59   </w:t>
      </w:r>
    </w:p>
    <w:p>
      <w:pPr>
        <w:spacing w:after="0"/>
      </w:pPr>
      <w:r>
        <w:rPr>
          <w:rFonts w:ascii="Courier New" w:hAnsi="Courier New" w:cs="Courier New"/>
          <w:sz w:val="20"/>
        </w:rPr>
        <w:t xml:space="preserve">training              45   </w:t>
      </w:r>
    </w:p>
    <w:p>
      <w:pPr>
        <w:spacing w:after="0"/>
      </w:pPr>
      <w:r>
        <w:rPr>
          <w:rFonts w:ascii="Courier New" w:hAnsi="Courier New" w:cs="Courier New"/>
          <w:sz w:val="20"/>
        </w:rPr>
        <w:t xml:space="preserve">cash                  31   </w:t>
      </w:r>
    </w:p>
    <w:p>
      <w:pPr>
        <w:spacing w:after="0"/>
      </w:pPr>
      <w:r>
        <w:rPr>
          <w:rFonts w:ascii="Courier New" w:hAnsi="Courier New" w:cs="Courier New"/>
          <w:sz w:val="20"/>
        </w:rPr>
        <w:t xml:space="preserve">dpmsrTrigger          30   </w:t>
      </w:r>
    </w:p>
    <w:p>
      <w:pPr>
        <w:spacing w:after="0"/>
      </w:pPr>
      <w:r>
        <w:rPr>
          <w:rFonts w:ascii="Courier New" w:hAnsi="Courier New" w:cs="Courier New"/>
          <w:sz w:val="20"/>
        </w:rPr>
        <w:t xml:space="preserve">escalation            23   </w:t>
      </w:r>
    </w:p>
    <w:p>
      <w:pPr>
        <w:spacing w:after="0"/>
      </w:pPr>
      <w:r>
        <w:rPr>
          <w:rFonts w:ascii="Courier New" w:hAnsi="Courier New" w:cs="Courier New"/>
          <w:sz w:val="20"/>
        </w:rPr>
        <w:t xml:space="preserve">recycledGold          22   </w:t>
      </w:r>
    </w:p>
    <w:p>
      <w:pPr>
        <w:spacing w:after="0"/>
      </w:pPr>
      <w:r>
        <w:rPr>
          <w:rFonts w:ascii="Courier New" w:hAnsi="Courier New" w:cs="Courier New"/>
          <w:sz w:val="20"/>
        </w:rPr>
        <w:t xml:space="preserve">thirdParty            19   </w:t>
      </w:r>
    </w:p>
    <w:p>
      <w:pPr>
        <w:spacing w:after="0"/>
      </w:pPr>
      <w:r>
        <w:rPr>
          <w:rFonts w:ascii="Courier New" w:hAnsi="Courier New" w:cs="Courier New"/>
          <w:sz w:val="20"/>
        </w:rPr>
        <w:t xml:space="preserve">highRiskJurisdiction  10   </w:t>
      </w:r>
    </w:p>
    <w:p>
      <w:pPr>
        <w:spacing w:after="0"/>
      </w:pPr>
      <w:r>
        <w:rPr>
          <w:rFonts w:ascii="Courier New" w:hAnsi="Courier New" w:cs="Courier New"/>
          <w:sz w:val="20"/>
        </w:rPr>
        <w:t xml:space="preserve">pep                   9    </w:t>
      </w:r>
    </w:p>
    <w:p>
      <w:pPr>
        <w:spacing w:after="0"/>
      </w:pPr>
      <w:r>
        <w:rPr>
          <w:rFonts w:ascii="Courier New" w:hAnsi="Courier New" w:cs="Courier New"/>
          <w:sz w:val="20"/>
        </w:rPr>
        <w:t xml:space="preserve">cddGap                8    </w:t>
      </w:r>
    </w:p>
    <w:p>
      <w:pPr>
        <w:spacing w:after="0"/>
      </w:pPr>
      <w:r>
        <w:rPr>
          <w:rFonts w:ascii="Courier New" w:hAnsi="Courier New" w:cs="Courier New"/>
          <w:sz w:val="20"/>
        </w:rPr>
        <w:t xml:space="preserve">unusualPattern        5    </w:t>
      </w:r>
    </w:p>
    <w:p>
      <w:pPr>
        <w:spacing w:after="0"/>
      </w:pPr>
      <w:r>
        <w:rPr>
          <w:rFonts w:ascii="Courier New" w:hAnsi="Courier New" w:cs="Courier New"/>
          <w:sz w:val="20"/>
        </w:rPr>
        <w:t xml:space="preserve">stalled               1    </w:t>
      </w:r>
    </w:p>
    <w:p>
      <w:pPr>
        <w:spacing w:after="0"/>
      </w:pPr>
      <w:r>
        <w:rPr>
          <w:rFonts w:ascii="Courier New" w:hAnsi="Courier New" w:cs="Courier New"/>
          <w:sz w:val="20"/>
        </w:rPr>
        <w:t xml:space="preserve">preciousStones        1    </w:t>
      </w:r>
    </w:p>
    <w:p>
      <w:pPr>
        <w:spacing w:after="0"/>
      </w:pPr>
    </w:p>
    <w:p>
      <w:pPr>
        <w:spacing w:after="0"/>
      </w:pPr>
      <w:r>
        <w:rPr>
          <w:rFonts w:ascii="Courier New" w:hAnsi="Courier New" w:cs="Courier New"/>
          <w:sz w:val="20"/>
        </w:rPr>
        <w:t xml:space="preserve">OVERDUE ITEMS REQUIRING ATTENTION</w:t>
      </w:r>
    </w:p>
    <w:p>
      <w:pPr>
        <w:spacing w:after="0"/>
      </w:pPr>
    </w:p>
    <w:p>
      <w:pPr>
        <w:spacing w:after="0"/>
      </w:pPr>
      <w:r>
        <w:rPr>
          <w:rFonts w:ascii="Courier New" w:hAnsi="Courier New" w:cs="Courier New"/>
          <w:sz w:val="20"/>
        </w:rPr>
        <w:t xml:space="preserve">(no overdue items)</w:t>
      </w:r>
    </w:p>
    <w:p>
      <w:pPr>
        <w:spacing w:after="0"/>
      </w:pPr>
    </w:p>
    <w:p>
      <w:pPr>
        <w:spacing w:after="0"/>
      </w:pPr>
      <w:r>
        <w:rPr>
          <w:rFonts w:ascii="Courier New" w:hAnsi="Courier New" w:cs="Courier New"/>
          <w:sz w:val="20"/>
        </w:rPr>
        <w:t xml:space="preserve">RED-FLAG ITEMS RAISED OR OPEN</w:t>
      </w:r>
    </w:p>
    <w:p>
      <w:pPr>
        <w:spacing w:after="0"/>
      </w:pPr>
    </w:p>
    <w:p>
      <w:pPr>
        <w:spacing w:after="0"/>
      </w:pPr>
      <w:r>
        <w:rPr>
          <w:rFonts w:ascii="Courier New" w:hAnsi="Courier New" w:cs="Courier New"/>
          <w:sz w:val="20"/>
        </w:rPr>
        <w:t xml:space="preserve">(no red-flag tags matched today)</w:t>
      </w:r>
    </w:p>
    <w:p>
      <w:pPr>
        <w:spacing w:after="0"/>
      </w:pPr>
    </w:p>
    <w:p>
      <w:pPr>
        <w:spacing w:after="0"/>
      </w:pPr>
      <w:r>
        <w:rPr>
          <w:rFonts w:ascii="Courier New" w:hAnsi="Courier New" w:cs="Courier New"/>
          <w:sz w:val="20"/>
        </w:rPr>
        <w:t xml:space="preserve">ANALYTICAL COMMENTARY</w:t>
      </w:r>
    </w:p>
    <w:p>
      <w:pPr>
        <w:spacing w:after="0"/>
      </w:pPr>
    </w:p>
    <w:p>
      <w:pPr>
        <w:spacing w:after="0"/>
      </w:pPr>
      <w:r>
        <w:rPr>
          <w:rFonts w:ascii="Courier New" w:hAnsi="Courier New" w:cs="Courier New"/>
          <w:sz w:val="20"/>
        </w:rPr>
        <w:t xml:space="preserve">DAILY COMPLIANCE REPORT</w:t>
      </w:r>
    </w:p>
    <w:p>
      <w:pPr>
        <w:spacing w:after="0"/>
      </w:pPr>
    </w:p>
    <w:p>
      <w:pPr>
        <w:spacing w:after="0"/>
      </w:pPr>
      <w:r>
        <w:rPr>
          <w:rFonts w:ascii="Courier New" w:hAnsi="Courier New" w:cs="Courier New"/>
          <w:sz w:val="20"/>
        </w:rPr>
        <w:t xml:space="preserve">MADISON LLC</w:t>
      </w:r>
    </w:p>
    <w:p>
      <w:pPr>
        <w:spacing w:after="0"/>
      </w:pPr>
    </w:p>
    <w:p>
      <w:pPr>
        <w:spacing w:after="0"/>
      </w:pPr>
      <w:r>
        <w:rPr>
          <w:rFonts w:ascii="Courier New" w:hAnsi="Courier New" w:cs="Courier New"/>
          <w:sz w:val="20"/>
        </w:rPr>
        <w:t xml:space="preserve">16 April 2026</w:t>
      </w:r>
    </w:p>
    <w:p>
      <w:pPr>
        <w:spacing w:after="0"/>
      </w:pPr>
    </w:p>
    <w:p>
      <w:pPr>
        <w:spacing w:after="0"/>
      </w:pPr>
      <w:r>
        <w:rPr>
          <w:rFonts w:ascii="Courier New" w:hAnsi="Courier New" w:cs="Courier New"/>
          <w:sz w:val="20"/>
        </w:rPr>
        <w:t xml:space="preserve">STATE OF THE BOOK</w:t>
      </w:r>
    </w:p>
    <w:p>
      <w:pPr>
        <w:spacing w:after="0"/>
      </w:pPr>
    </w:p>
    <w:p>
      <w:pPr>
        <w:spacing w:after="0"/>
      </w:pPr>
      <w:r>
        <w:rPr>
          <w:rFonts w:ascii="Courier New" w:hAnsi="Courier New" w:cs="Courier New"/>
          <w:sz w:val="20"/>
        </w:rPr>
        <w:t xml:space="preserve">We have one open compliance item as at close of business today with no overdue items and no items at critical risk. No new items were raised in the last 24 hours and no completions were recorded since yesterday.</w:t>
      </w:r>
    </w:p>
    <w:p>
      <w:pPr>
        <w:spacing w:after="0"/>
      </w:pPr>
    </w:p>
    <w:p>
      <w:pPr>
        <w:spacing w:after="0"/>
      </w:pPr>
      <w:r>
        <w:rPr>
          <w:rFonts w:ascii="Courier New" w:hAnsi="Courier New" w:cs="Courier New"/>
          <w:sz w:val="20"/>
        </w:rPr>
        <w:t xml:space="preserve">TYPOLOGIES REQUIRING MLRO ATTENTION</w:t>
      </w:r>
    </w:p>
    <w:p>
      <w:pPr>
        <w:spacing w:after="0"/>
      </w:pPr>
    </w:p>
    <w:p>
      <w:pPr>
        <w:spacing w:after="0"/>
      </w:pPr>
      <w:r>
        <w:rPr>
          <w:rFonts w:ascii="Courier New" w:hAnsi="Courier New" w:cs="Courier New"/>
          <w:sz w:val="20"/>
        </w:rPr>
        <w:t xml:space="preserve">Our daily typology matching has generated 408 potential matches across 20 risk categories. The highest volume triggers are cross-border transactions (92 matches), sanctions screening alerts (59 matches), and cash transaction typology markers (31 matches). We also note elevated counts in training compliance flags (45 matches) and escalation queue items (23 matches). The presence of red-flag items in the system, combined with a stalled item (1 match) and eight customer due diligence gaps, indicates that baseline compliance controls are encountering friction points that require your review. A single match for precious stones warrants confirmation that our precious metals and stones due diligence framework remains properly calibrated.</w:t>
      </w:r>
    </w:p>
    <w:p>
      <w:pPr>
        <w:spacing w:after="0"/>
      </w:pPr>
    </w:p>
    <w:p>
      <w:pPr>
        <w:spacing w:after="0"/>
      </w:pPr>
      <w:r>
        <w:rPr>
          <w:rFonts w:ascii="Courier New" w:hAnsi="Courier New" w:cs="Courier New"/>
          <w:sz w:val="20"/>
        </w:rPr>
        <w:t xml:space="preserve">REQUIRED ACTIONS</w:t>
      </w:r>
    </w:p>
    <w:p>
      <w:pPr>
        <w:spacing w:after="0"/>
      </w:pPr>
    </w:p>
    <w:p>
      <w:pPr>
        <w:spacing w:after="0"/>
      </w:pPr>
      <w:r>
        <w:rPr>
          <w:rFonts w:ascii="Courier New" w:hAnsi="Courier New" w:cs="Courier New"/>
          <w:sz w:val="20"/>
        </w:rPr>
        <w:t xml:space="preserve">Review the stalled compliance item and determine whether escalation to Senior Management is warranted. Prioritise examination of the eight customer due diligence gaps to establish whether Enhanced Due Diligence enhancement is needed. Assess the 23 escalation queue items to confirm whether any require Suspicious Activity Report filing to the Financial Intelligence Unit through the goAML platform. Confirm that training compliance flags (45 matches) reflect gaps in staff awareness under the applicable provision of Federal Decree-Law No. 10 of 2025.</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ITEMS REQUIRING MLRO DECISION BEFORE END OF DAY</w:t>
      </w:r>
    </w:p>
    <w:p>
      <w:pPr>
        <w:spacing w:after="0"/>
      </w:pPr>
    </w:p>
    <w:p>
      <w:pPr>
        <w:spacing w:after="0"/>
      </w:pPr>
      <w:r>
        <w:rPr>
          <w:rFonts w:ascii="Courier New" w:hAnsi="Courier New" w:cs="Courier New"/>
          <w:sz w:val="20"/>
        </w:rPr>
        <w:t xml:space="preserve">One or more items above are flagged for MLRO attention. The MLRO is asked to review the red-flag table and the overdue table and to direct the compliance function accordingly.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