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NAPLES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HSV2-DER-2026-04-16-NAPLES_LLC_-_COMPLIA</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NAPLES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2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134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32   </w:t>
      </w:r>
    </w:p>
    <w:p>
      <w:pPr>
        <w:spacing w:after="0"/>
      </w:pPr>
      <w:r>
        <w:rPr>
          <w:rFonts w:ascii="Courier New" w:hAnsi="Courier New" w:cs="Courier New"/>
          <w:sz w:val="20"/>
        </w:rPr>
        <w:t xml:space="preserve">dpmsrTrigger          31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escalation            22   </w:t>
      </w:r>
    </w:p>
    <w:p>
      <w:pPr>
        <w:spacing w:after="0"/>
      </w:pPr>
      <w:r>
        <w:rPr>
          <w:rFonts w:ascii="Courier New" w:hAnsi="Courier New" w:cs="Courier New"/>
          <w:sz w:val="20"/>
        </w:rPr>
        <w:t xml:space="preserve">thirdParty            20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4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RF-R16 | Old Gold and Inherited Gold Verification  recycledGold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 NAPLES LLC</w:t>
      </w:r>
    </w:p>
    <w:p>
      <w:pPr>
        <w:spacing w:after="0"/>
      </w:pPr>
      <w:r>
        <w:rPr>
          <w:rFonts w:ascii="Courier New" w:hAnsi="Courier New" w:cs="Courier New"/>
          <w:sz w:val="20"/>
        </w:rPr>
        <w:t xml:space="preserve">2026-04-16</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We hold 2 open items with zero overdue items and zero items at risk of breach within 48 hours. No items were completed or newly raised in the last 24 hours. The book is in satisfactory standing with no immediate escalation pressures from a workflow perspective.</w:t>
      </w:r>
    </w:p>
    <w:p>
      <w:pPr>
        <w:spacing w:after="0"/>
      </w:pPr>
    </w:p>
    <w:p>
      <w:pPr>
        <w:spacing w:after="0"/>
      </w:pPr>
      <w:r>
        <w:rPr>
          <w:rFonts w:ascii="Courier New" w:hAnsi="Courier New" w:cs="Courier New"/>
          <w:sz w:val="20"/>
        </w:rPr>
        <w:t xml:space="preserve">TYPOLOGIES REQUIRING MLRO ATTENTION</w:t>
      </w:r>
    </w:p>
    <w:p>
      <w:pPr>
        <w:spacing w:after="0"/>
      </w:pPr>
    </w:p>
    <w:p>
      <w:pPr>
        <w:spacing w:after="0"/>
      </w:pPr>
      <w:r>
        <w:rPr>
          <w:rFonts w:ascii="Courier New" w:hAnsi="Courier New" w:cs="Courier New"/>
          <w:sz w:val="20"/>
        </w:rPr>
        <w:t xml:space="preserve">Cross-border transaction matching dominates the daily alert volume at 134 matches, followed by sanctions screening at 59 matches and training alerts at 44 matches. The secondary cluster comprises DPMSR trigger events at 31 matches, cash transaction alerts at 32 matches, and PEP screening results at 10 matches. A material red-flag condition is present in the system today. We note 22 matches against recycled gold typology, 22 escalation notices, 20 third-party risk alerts, and 10 high-risk jurisdiction flags. The concentration of cross-border activity relative to sanctions and cash transaction alerts suggests elevated geographic risk exposure requiring MLRO review. Review the red-flag condition for substantive AML/CFT implications.</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Confirm the nature and substance of the red-flag condition by end of business. Clear the one stalled item from the system and document the resolution. Assess the cross-border, sanctions and cash transaction clusters against customer profile and transaction history to determine whether escalation to the Financial Intelligence Unit is warranted. Review the high-risk jurisdiction and recycled gold alerts for geographic and commodity risk concentration.</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