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SCREENINGS</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HSV2-DER-2026-04-16-SCREENINGS</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2026-04-16</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2026-04-16</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SCREENINGS</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2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2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sanctions    3    </w:t>
      </w:r>
    </w:p>
    <w:p>
      <w:pPr>
        <w:spacing w:after="0"/>
      </w:pPr>
      <w:r>
        <w:rPr>
          <w:rFonts w:ascii="Courier New" w:hAnsi="Courier New" w:cs="Courier New"/>
          <w:sz w:val="20"/>
        </w:rPr>
        <w:t xml:space="preserve">pep          2    </w:t>
      </w:r>
    </w:p>
    <w:p>
      <w:pPr>
        <w:spacing w:after="0"/>
      </w:pPr>
      <w:r>
        <w:rPr>
          <w:rFonts w:ascii="Courier New" w:hAnsi="Courier New" w:cs="Courier New"/>
          <w:sz w:val="20"/>
        </w:rPr>
        <w:t xml:space="preserve">crossBorder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Task                                Typology flags               Due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[TFS] ERMAN DONMEZ — Partial Match  sanctions, pep               2026-04-20</w:t>
      </w:r>
    </w:p>
    <w:p>
      <w:pPr>
        <w:spacing w:after="0"/>
      </w:pPr>
      <w:r>
        <w:rPr>
          <w:rFonts w:ascii="Courier New" w:hAnsi="Courier New" w:cs="Courier New"/>
          <w:sz w:val="20"/>
        </w:rPr>
        <w:t xml:space="preserve">[TFS] OZCAN HALAC — Partial Match   sanctions, pep, crossBorder  2026-04-20</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DAILY COMPLIANCE REPORT: SCREENINGS</w:t>
      </w:r>
    </w:p>
    <w:p>
      <w:pPr>
        <w:spacing w:after="0"/>
      </w:pPr>
    </w:p>
    <w:p>
      <w:pPr>
        <w:spacing w:after="0"/>
      </w:pPr>
      <w:r>
        <w:rPr>
          <w:rFonts w:ascii="Courier New" w:hAnsi="Courier New" w:cs="Courier New"/>
          <w:sz w:val="20"/>
        </w:rPr>
        <w:t xml:space="preserve">DATE 2026-04-16</w:t>
      </w:r>
    </w:p>
    <w:p>
      <w:pPr>
        <w:spacing w:after="0"/>
      </w:pPr>
    </w:p>
    <w:p>
      <w:pPr>
        <w:spacing w:after="0"/>
      </w:pPr>
      <w:r>
        <w:rPr>
          <w:rFonts w:ascii="Courier New" w:hAnsi="Courier New" w:cs="Courier New"/>
          <w:sz w:val="20"/>
        </w:rPr>
        <w:t xml:space="preserve">SCREENING BOOK STATUS</w:t>
      </w:r>
    </w:p>
    <w:p>
      <w:pPr>
        <w:spacing w:after="0"/>
      </w:pPr>
    </w:p>
    <w:p>
      <w:pPr>
        <w:spacing w:after="0"/>
      </w:pPr>
      <w:r>
        <w:rPr>
          <w:rFonts w:ascii="Courier New" w:hAnsi="Courier New" w:cs="Courier New"/>
          <w:sz w:val="20"/>
        </w:rPr>
        <w:t xml:space="preserve">We maintain two open screening items with no overdue or at-risk items as of close of business today. We raised two new items in the last 24 hours and completed no items in the same period.</w:t>
      </w:r>
    </w:p>
    <w:p>
      <w:pPr>
        <w:spacing w:after="0"/>
      </w:pPr>
    </w:p>
    <w:p>
      <w:pPr>
        <w:spacing w:after="0"/>
      </w:pPr>
      <w:r>
        <w:rPr>
          <w:rFonts w:ascii="Courier New" w:hAnsi="Courier New" w:cs="Courier New"/>
          <w:sz w:val="20"/>
        </w:rPr>
        <w:t xml:space="preserve">TYPOLOGY ALERTS REQUIRING MLRO ATTENTION</w:t>
      </w:r>
    </w:p>
    <w:p>
      <w:pPr>
        <w:spacing w:after="0"/>
      </w:pPr>
    </w:p>
    <w:p>
      <w:pPr>
        <w:spacing w:after="0"/>
      </w:pPr>
      <w:r>
        <w:rPr>
          <w:rFonts w:ascii="Courier New" w:hAnsi="Courier New" w:cs="Courier New"/>
          <w:sz w:val="20"/>
        </w:rPr>
        <w:t xml:space="preserve">We identified five typology matches across sanctions and PEP categories today. Three matches relate to targeted financial sanctions screening against the UN Security Council Consolidated List and the UAE Local Terrorist List. Two matches relate to Politically Exposed Person screening. We also identified one cross-border transaction typology match. These five matches combined with the presence of red-flag items in the current open book indicate elevated screening friction today. The MLRO should review the substantive details of each match to determine whether any require escalation to the Financial Intelligence Unit through the goAML platform.</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Review the three sanctions matches against the applicable targeted financial sanctions framework and document the outcome in the screening log. Review the two PEP matches and confirm that the underlying customers have been subject to appropriate Enhanced Due Diligence under the applicable provision of Federal Decree-Law No. 10 of 2025. Assess the cross-border transaction match for consistency with our geographic risk assessment. Confirm completion of all actions by end of business tomorrow.</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