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ZOE FZE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HSV2-DER-2026-04-16-ZOE_FZE_-_COMPLIANCE</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ZOE FZE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ZOE FZE, 16 APRIL 2026</w:t>
      </w:r>
    </w:p>
    <w:p>
      <w:pPr>
        <w:spacing w:after="0"/>
      </w:pPr>
    </w:p>
    <w:p>
      <w:pPr>
        <w:spacing w:after="0"/>
      </w:pPr>
      <w:r>
        <w:rPr>
          <w:rFonts w:ascii="Courier New" w:hAnsi="Courier New" w:cs="Courier New"/>
          <w:sz w:val="20"/>
        </w:rPr>
        <w:t xml:space="preserve">BOOK STATUS</w:t>
      </w:r>
    </w:p>
    <w:p>
      <w:pPr>
        <w:spacing w:after="0"/>
      </w:pPr>
    </w:p>
    <w:p>
      <w:pPr>
        <w:spacing w:after="0"/>
      </w:pPr>
      <w:r>
        <w:rPr>
          <w:rFonts w:ascii="Courier New" w:hAnsi="Courier New" w:cs="Courier New"/>
          <w:sz w:val="20"/>
        </w:rPr>
        <w:t xml:space="preserve">The compliance book remains clear today. We have zero open, overdue, or at-risk items, with no new items raised in the last 24 hours and no completions recorded since yesterday.</w:t>
      </w:r>
    </w:p>
    <w:p>
      <w:pPr>
        <w:spacing w:after="0"/>
      </w:pPr>
    </w:p>
    <w:p>
      <w:pPr>
        <w:spacing w:after="0"/>
      </w:pPr>
      <w:r>
        <w:rPr>
          <w:rFonts w:ascii="Courier New" w:hAnsi="Courier New" w:cs="Courier New"/>
          <w:sz w:val="20"/>
        </w:rPr>
        <w:t xml:space="preserve">TYPOLOGY ALERTS</w:t>
      </w:r>
    </w:p>
    <w:p>
      <w:pPr>
        <w:spacing w:after="0"/>
      </w:pPr>
    </w:p>
    <w:p>
      <w:pPr>
        <w:spacing w:after="0"/>
      </w:pPr>
      <w:r>
        <w:rPr>
          <w:rFonts w:ascii="Courier New" w:hAnsi="Courier New" w:cs="Courier New"/>
          <w:sz w:val="20"/>
        </w:rPr>
        <w:t xml:space="preserve">Our screening detected 354 total matches across 16 typologies today, with cross-border transactions (94 matches), sanctions screening (59 matches), and cash threshold alerts (31 matches) accounting for the highest volume. We also flagged 44 training-related matches, 30 DPMSR threshold triggers, and 23 escalation-protocol matches. The presence of red-flag items in today's dataset, combined with these concentrations, requires prompt MLRO review to determine whether any matches merit Suspicious Transaction Report preparation or funds freeze notification to the Financial Intelligence Unit. Escalate the full match report to the MLRO for prioritisation within one business day.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Review all 59 sanctions matches against the UN Security Council Consolidated List and the UAE Local Terrorist List to confirm screen integrity. Triage the 94 cross-border transaction matches for geographic risk assessment against FATF monitoring lists. Verify the status of the eight CDD gaps and one stalled item to determine whether closure is available. Schedule a compliance team briefing to address the 44 training-related flags and confirm current attestation levels.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