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HSV2-DER-2026-04-07-MADISON_LLC_-_COMPLI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570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120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             Tasks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crossBorder           96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            70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             55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                 33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            32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dpmsrTrigger          30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recycledGold          23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thirdParty            21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cddGap                12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                  11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highRiskJurisdiction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unusualPattern        7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stalled           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preciousStones      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                                                         Typology flags      Due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  ------------------  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TRN-32 | Training Effectiveness Review and Management Attest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CBUAE-02 | Licensed Payment Channel Verification and Hawa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QA-04 | Sanctions Screening QA and Accuracy Testing      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GRP-05 | Group Training Standardization and Competency Be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🟢 MOE-20 | UAE Country Embargo and Autonomous Sanctions Com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MOE-14 | UAE Customs Compliance for Gold Import/Export   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🔵 OPS-08 | Annual Employee AML/CFT Competency Assessment   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🔵 OPS-56 | Annual Compliance Training Needs Assessment       training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OPS-59 | Precious Stones Compliance Controls (Kimberley P  preciousStones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OPS-20 | Cross-Border Gold Shipment Compliance Framework 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OPS-47 | Scrap Gold and Recycled Precious Metals Controls  recycledGold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OPS-49 | Hawala and Informal Value Transfer Detection (DP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OPS-02 | Large Cash Transaction Reporting (AED 55,000+ Th  cash, dpmsrTrigger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OPS-23 | Third-Party CDD Reliance Framework (FATF R.17)    thirdParty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OPS-14 | Cross-Border Wire Transfer Compliance (FATF R.16  crossBorder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OPS-22 | PEP Ongoing Monitoring and Enhanced Surveillance  pep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OPS-21 | Shell Company and Complex Structure Detection Pr  cddGap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OPS-01 | Daily TFS/Sanctions Screening Log and Documentat  sanctions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🔴 OPS-46 | Artisanal and Small-Scale Mining (ASM) Due Dilig  recycledGold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H-06 | TFS Sanctions List Update Procedure                 sanctions           2026-10-03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position for MADISON LLC - COMPLIANCE PROGRAMME 2026 on 2026-04-07.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There are 570 open items, 0 overdue and 1 at risk within 48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last 24 hours 0 items closed and 120 new items were raised.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note the typology distribution recorded above and the red-flag items listed in the table.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Review every overdue item with the assignee before end of 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Escalate any unresolved red-flag item to the MLRO for direction.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Confirm that no filing candidate has slipped past its internal deadline.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One or more items above are flagged for MLRO attention. The MLRO is asked to review the red-flag table and the overdue table and to direct the compliance function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