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HSV2-DER-2026-04-07-NAPLES_LLC_-_COMPLIA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512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60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    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         136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         67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training              54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                 32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         31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dpmsrTrigger          29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recycledGold          22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thirdParty            20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cddGap                11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       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highRiskJurisdiction  10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unusualPattern        6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stalled    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preciousStones        1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              Typology flags              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  --------------------------------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TRN-32 | Training Effectiveness Review and Management Attest  training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CBUAE-02 | Licensed Payment Channel Verification and Hawa  crossBorder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GRP-05 | Group Training Standardization and Competency Be  training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🟢 MOE-20 | UAE Country Embargo and Autonomous Sanctions Com  sanctions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MOE-14 | UAE Customs Compliance for Gold Import/Export     crossBorder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🟡 H-06 | TFS Sanctions List Update Procedure                 sanctions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🔵 M-01 | Staff Training Completion Tracking                  training    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RF-R05 | Jewelry Scrap Aggregation Without CDD                cash, recycledGold, dpmsrTrigger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RF-R06 | Industrial Scrap Gold Processing           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RF-R07 | Recycled Gold from Theft or Proceeds of Crime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    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RF-R09 | Recycled Material CDD Exemption Abuse                recycledGold, cddGap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RF-R10 | Gold-for-Cash Schemes via Recycled Material          cash, recycledGold, thirdParty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RF-R12 | Recycled Gold from Sanctioned Entities               sanctions, recycledGold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    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RF-R16 | Old Gold and Inherited Gold Verification             recycledGold            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RF-R17 | Recycled Gold as Hawala Alternative                  crossBorder, recycledGold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RF-R18 | Dental and Medical Gold Recycling Anomalies          recycledGold                      2026-10-03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NAPLES LLC - COMPLIANCE PROGRAMME 2026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512 open items, 0 overdue and 1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60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