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CHANGE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HSV2-REG-IMPACT-2026-04-10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Regulatory monitoring day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impact assessment covers 2 regulatory change(s) detected by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regulatory-watcher on 2026-04-10. Each change is classified by its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potential impact on the firm's AML/CFT controls, procedures and training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materials. The MLRO must review each classification and record a formal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action where warranted.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 impact  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 impact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Low impact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changes assessed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  Executive Office for Cont  high    Change from a primary sanctions or standard-setting body. May require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  Ministry of Economy  medium  Change from a supervisory authority. May require updates to internal 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REQUIRED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HIGH: Every high-impact change must be reviewed by the MLRO within one business day. Open a task in the compliance workspace with a clear owner, deadline and remediation plan.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MEDIUM: Every medium-impact change must be reviewed within five business days. Update internal procedures, training materials or reporting templates as needed.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low-impact changes detected.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 all response actions and retain this assessment for the full ten-year retention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