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ADVERSE MEDIA SWEEP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HSV2-ADV-2026-04-14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Sweep week ending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weekly adverse media sweep across 3 counterparties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register. For each counterparty with a risk rating of medium or high, we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queried public search results for the counterparty name combined with adverse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keywords (money laundering, sanctions, fraud, terrorist financing, etc.)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compared the content hash against the last stored snapshot.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screened  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results   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With adverse keyword hits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      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WITH ADVERSE MEDIA INDICATORS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                       Jurisdiction  Adverse KW  Status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  ------------  ----------  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VAT Compliance for Precious Metals                5           changed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VAT for Precious Metals                           4           changed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VAT Precious Metals                               4           changed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counterparty flagged above and review the search results manually.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adverse media is confirmed, update the counterparty risk rating and consider whether a filing is warranted.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the review outcome in the counterparty register notes field.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